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829F2" w14:textId="616CB7BB" w:rsidR="004A5BE9" w:rsidRPr="004A5BE9" w:rsidRDefault="00C02E13" w:rsidP="00C02E13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SAMPLE</w:t>
      </w:r>
    </w:p>
    <w:tbl>
      <w:tblPr>
        <w:tblW w:w="0" w:type="auto"/>
        <w:tblInd w:w="135" w:type="dxa"/>
        <w:tblBorders>
          <w:top w:val="single" w:sz="8" w:space="0" w:color="4E81BD"/>
          <w:left w:val="single" w:sz="8" w:space="0" w:color="4E81BD"/>
          <w:bottom w:val="single" w:sz="8" w:space="0" w:color="4E81BD"/>
          <w:right w:val="single" w:sz="8" w:space="0" w:color="4E81BD"/>
          <w:insideH w:val="single" w:sz="8" w:space="0" w:color="4E81BD"/>
          <w:insideV w:val="single" w:sz="8" w:space="0" w:color="4E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0"/>
        <w:gridCol w:w="1335"/>
        <w:gridCol w:w="2055"/>
      </w:tblGrid>
      <w:tr w:rsidR="004A5BE9" w:rsidRPr="004A5BE9" w14:paraId="4A62DB58" w14:textId="77777777" w:rsidTr="008B7D75">
        <w:trPr>
          <w:trHeight w:val="250"/>
        </w:trPr>
        <w:tc>
          <w:tcPr>
            <w:tcW w:w="7080" w:type="dxa"/>
            <w:vMerge w:val="restart"/>
          </w:tcPr>
          <w:p w14:paraId="1ECC0A83" w14:textId="77777777" w:rsidR="004A5BE9" w:rsidRDefault="004A5BE9" w:rsidP="004A5BE9">
            <w:pPr>
              <w:widowControl w:val="0"/>
              <w:tabs>
                <w:tab w:val="left" w:pos="404"/>
                <w:tab w:val="left" w:pos="406"/>
              </w:tabs>
              <w:autoSpaceDE w:val="0"/>
              <w:autoSpaceDN w:val="0"/>
              <w:spacing w:before="23" w:after="0" w:line="240" w:lineRule="auto"/>
              <w:jc w:val="center"/>
              <w:rPr>
                <w:rFonts w:ascii="Verdana" w:eastAsia="Arial" w:hAnsi="Arial" w:cs="Arial"/>
              </w:rPr>
            </w:pPr>
          </w:p>
          <w:p w14:paraId="6AF08213" w14:textId="0B68C163" w:rsidR="004A5BE9" w:rsidRPr="004A5BE9" w:rsidRDefault="004A5BE9" w:rsidP="004A5BE9">
            <w:pPr>
              <w:widowControl w:val="0"/>
              <w:tabs>
                <w:tab w:val="left" w:pos="404"/>
                <w:tab w:val="left" w:pos="406"/>
              </w:tabs>
              <w:autoSpaceDE w:val="0"/>
              <w:autoSpaceDN w:val="0"/>
              <w:spacing w:before="23" w:after="0" w:line="240" w:lineRule="auto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4A5BE9">
              <w:rPr>
                <w:rFonts w:ascii="Verdana" w:eastAsia="Arial" w:hAnsi="Arial" w:cs="Arial"/>
              </w:rPr>
              <w:t>Provision of Medically Necessary Consultant Services During C</w:t>
            </w:r>
            <w:r>
              <w:rPr>
                <w:rFonts w:ascii="Verdana" w:eastAsia="Arial" w:hAnsi="Arial" w:cs="Arial"/>
              </w:rPr>
              <w:t>OVID-19</w:t>
            </w:r>
            <w:r w:rsidRPr="004A5BE9">
              <w:rPr>
                <w:rFonts w:ascii="Verdana" w:eastAsia="Arial" w:hAnsi="Arial" w:cs="Arial"/>
              </w:rPr>
              <w:t xml:space="preserve"> Pandemic</w:t>
            </w:r>
          </w:p>
        </w:tc>
        <w:tc>
          <w:tcPr>
            <w:tcW w:w="1335" w:type="dxa"/>
          </w:tcPr>
          <w:p w14:paraId="27BAF12A" w14:textId="77777777" w:rsidR="004A5BE9" w:rsidRPr="004A5BE9" w:rsidRDefault="004A5BE9" w:rsidP="004A5BE9">
            <w:pPr>
              <w:widowControl w:val="0"/>
              <w:autoSpaceDE w:val="0"/>
              <w:autoSpaceDN w:val="0"/>
              <w:spacing w:before="31" w:after="0" w:line="240" w:lineRule="auto"/>
              <w:ind w:left="64" w:right="-15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055" w:type="dxa"/>
          </w:tcPr>
          <w:p w14:paraId="49C29F37" w14:textId="77777777" w:rsidR="004A5BE9" w:rsidRPr="004A5BE9" w:rsidRDefault="004A5BE9" w:rsidP="004A5B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18"/>
              </w:rPr>
            </w:pPr>
          </w:p>
        </w:tc>
      </w:tr>
      <w:tr w:rsidR="004A5BE9" w:rsidRPr="004A5BE9" w14:paraId="42B955BA" w14:textId="77777777" w:rsidTr="008B7D75">
        <w:trPr>
          <w:trHeight w:val="385"/>
        </w:trPr>
        <w:tc>
          <w:tcPr>
            <w:tcW w:w="7080" w:type="dxa"/>
            <w:vMerge/>
          </w:tcPr>
          <w:p w14:paraId="4D859B0E" w14:textId="77777777" w:rsidR="004A5BE9" w:rsidRPr="004A5BE9" w:rsidRDefault="004A5BE9" w:rsidP="004A5B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335" w:type="dxa"/>
          </w:tcPr>
          <w:p w14:paraId="199A4AFE" w14:textId="77777777" w:rsidR="004A5BE9" w:rsidRPr="004A5BE9" w:rsidRDefault="004A5BE9" w:rsidP="004A5BE9">
            <w:pPr>
              <w:widowControl w:val="0"/>
              <w:autoSpaceDE w:val="0"/>
              <w:autoSpaceDN w:val="0"/>
              <w:spacing w:before="34" w:after="0" w:line="240" w:lineRule="auto"/>
              <w:ind w:left="64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055" w:type="dxa"/>
          </w:tcPr>
          <w:p w14:paraId="4F3BC31F" w14:textId="77777777" w:rsidR="004A5BE9" w:rsidRPr="004A5BE9" w:rsidRDefault="004A5BE9" w:rsidP="004A5B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sz w:val="20"/>
              </w:rPr>
            </w:pPr>
          </w:p>
        </w:tc>
      </w:tr>
      <w:tr w:rsidR="004A5BE9" w:rsidRPr="004A5BE9" w14:paraId="4A63DB14" w14:textId="77777777" w:rsidTr="008B7D75">
        <w:trPr>
          <w:trHeight w:val="175"/>
        </w:trPr>
        <w:tc>
          <w:tcPr>
            <w:tcW w:w="7080" w:type="dxa"/>
            <w:vMerge/>
          </w:tcPr>
          <w:p w14:paraId="5B1A95C3" w14:textId="77777777" w:rsidR="004A5BE9" w:rsidRPr="004A5BE9" w:rsidRDefault="004A5BE9" w:rsidP="004A5BE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335" w:type="dxa"/>
          </w:tcPr>
          <w:p w14:paraId="25F047D6" w14:textId="77777777" w:rsidR="004A5BE9" w:rsidRPr="004A5BE9" w:rsidRDefault="004A5BE9" w:rsidP="004A5BE9">
            <w:pPr>
              <w:widowControl w:val="0"/>
              <w:autoSpaceDE w:val="0"/>
              <w:autoSpaceDN w:val="0"/>
              <w:spacing w:before="31" w:after="0" w:line="240" w:lineRule="auto"/>
              <w:ind w:left="64"/>
              <w:rPr>
                <w:rFonts w:ascii="Arial" w:eastAsia="Arial" w:hAnsi="Arial" w:cs="Arial"/>
                <w:b/>
                <w:sz w:val="14"/>
              </w:rPr>
            </w:pPr>
          </w:p>
        </w:tc>
        <w:tc>
          <w:tcPr>
            <w:tcW w:w="2055" w:type="dxa"/>
          </w:tcPr>
          <w:p w14:paraId="0E00A919" w14:textId="77777777" w:rsidR="004A5BE9" w:rsidRPr="004A5BE9" w:rsidRDefault="004A5BE9" w:rsidP="004A5BE9">
            <w:pPr>
              <w:widowControl w:val="0"/>
              <w:autoSpaceDE w:val="0"/>
              <w:autoSpaceDN w:val="0"/>
              <w:spacing w:after="0" w:line="215" w:lineRule="exact"/>
              <w:ind w:left="64"/>
              <w:rPr>
                <w:rFonts w:ascii="Verdana" w:eastAsia="Arial" w:hAnsi="Arial" w:cs="Arial"/>
                <w:sz w:val="18"/>
              </w:rPr>
            </w:pPr>
          </w:p>
        </w:tc>
      </w:tr>
    </w:tbl>
    <w:p w14:paraId="73D8748A" w14:textId="77777777" w:rsidR="004A5BE9" w:rsidRPr="004A5BE9" w:rsidRDefault="004A5BE9" w:rsidP="004A5BE9">
      <w:pPr>
        <w:widowControl w:val="0"/>
        <w:autoSpaceDE w:val="0"/>
        <w:autoSpaceDN w:val="0"/>
        <w:spacing w:before="6" w:after="0" w:line="240" w:lineRule="auto"/>
        <w:rPr>
          <w:rFonts w:ascii="Times New Roman" w:eastAsia="Arial" w:hAnsi="Arial" w:cs="Arial"/>
          <w:sz w:val="16"/>
        </w:rPr>
      </w:pPr>
    </w:p>
    <w:p w14:paraId="51FBD003" w14:textId="77777777" w:rsidR="004A5BE9" w:rsidRPr="004A5BE9" w:rsidRDefault="004A5BE9" w:rsidP="004A5BE9">
      <w:pPr>
        <w:widowControl w:val="0"/>
        <w:autoSpaceDE w:val="0"/>
        <w:autoSpaceDN w:val="0"/>
        <w:spacing w:before="93" w:after="0" w:line="240" w:lineRule="auto"/>
        <w:ind w:left="160"/>
        <w:outlineLvl w:val="0"/>
        <w:rPr>
          <w:rFonts w:ascii="Arial" w:eastAsia="Arial" w:hAnsi="Arial" w:cs="Arial"/>
          <w:bCs/>
        </w:rPr>
      </w:pPr>
      <w:r w:rsidRPr="004A5BE9">
        <w:rPr>
          <w:rFonts w:ascii="Arial" w:eastAsia="Arial" w:hAnsi="Arial" w:cs="Arial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7B35D4" wp14:editId="4FCCFAC1">
                <wp:simplePos x="0" y="0"/>
                <wp:positionH relativeFrom="page">
                  <wp:posOffset>4687570</wp:posOffset>
                </wp:positionH>
                <wp:positionV relativeFrom="paragraph">
                  <wp:posOffset>-719455</wp:posOffset>
                </wp:positionV>
                <wp:extent cx="119380" cy="11938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119380"/>
                          <a:chOff x="7382" y="-1133"/>
                          <a:chExt cx="188" cy="188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82" y="-1122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392" y="-1111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2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82" y="-956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39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59" y="-1111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128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914F3" id="Group 2" o:spid="_x0000_s1026" style="position:absolute;margin-left:369.1pt;margin-top:-56.65pt;width:9.4pt;height:9.4pt;z-index:-251657216;mso-position-horizontal-relative:page" coordorigin="7382,-1133" coordsize="1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omlgIAAF0KAAAOAAAAZHJzL2Uyb0RvYy54bWzsls2O2yAQx++V+g7I913HTrJxrCR72K/L&#10;tl1ptw9AMP5QMSBg4+TtOwx2stlWqppK6aH1wQIPjGf+PwZYXG9bQTbc2EbJZZRcjiLCJVNFI6tl&#10;9PXl/iKLiHVUFlQoyZfRjtvoevXxw6LTOU9VrUTBDQEn0uadXka1czqPY8tq3lJ7qTSXYCyVaamD&#10;rqniwtAOvLciTkejq7hTptBGMW4tfL0NxmiF/suSM/elLC13RCwjiM3h2+B77d/xakHzylBdN6wP&#10;g54QRUsbCT/du7qljpJX0/zgqm2YUVaV7pKpNlZl2TCOOUA2yehdNg9GvWrMpcq7Su9lAmnf6XSy&#10;W/Z582RIUwC7iEjaAiL8K0m9NJ2uchjxYPSzfjIhP2g+KvbNgjl+b/f9Kgwm6+6TKsAdfXUKpdmW&#10;pvUuIGmyRQK7PQG+dYTBxySZjzPgxMDUt5EQqwGjnzUbZ2lEwHqRJONxwMfqu2F6BssN50LDB0jz&#10;8FeMtI/MpwWLzR70tH+m53NNNUdM1qvV6zke9HxsJCdXQU4ccCODlmwrey2JVDc1lRVHVy87Dbol&#10;mIAPFXyGKb5jAcQvtX2rUookab6XOJsFjXDx7xWiuTbWPXDVEt9YRgLCRm5082hdEHMY4jFKdd8I&#10;gXSEJB0EPJ7PRjjDKtEU3urHWVOtb4QhG+pLEJ8ezdEwWOqyQG81p8Vd33a0EaENgQqJSy5oECiu&#10;VbF7Mj64numZ4E6O4E7PDHe+L4EEV8kB7lA6k0mv8VB0A7mT4abpLPtH4E6P4KKSR2VI83NU7nyK&#10;e8aBbfK/cH/n8Pz5rgx7XzjlcFfGA+R8bKfT+XB2nbFws9nk7xcuHsBwh8Ezub9v+UvS2z7u4odb&#10;4eo7AAAA//8DAFBLAwQUAAYACAAAACEAL5GFLeMAAAAMAQAADwAAAGRycy9kb3ducmV2LnhtbEyP&#10;wU7DMAyG70i8Q2QkblualdKtNJ2mCThNSGxIaLes8dpqTVI1Wdu9PeYER9uffn9/vp5MywbsfeOs&#10;BDGPgKEtnW5sJeHr8DZbAvNBWa1aZ1HCDT2si/u7XGXajfYTh32oGIVYnykJdQhdxrkvazTKz12H&#10;lm5n1xsVaOwrrns1Urhp+SKKnrlRjaUPtepwW2N52V+NhPdRjZtYvA67y3l7Ox6Sj++dQCkfH6bN&#10;C7CAU/iD4Vef1KEgp5O7Wu1ZKyGNlwtCJcyEiGNghKRJSvVOtFo9JcCLnP8vUfwAAAD//wMAUEsB&#10;Ai0AFAAGAAgAAAAhALaDOJL+AAAA4QEAABMAAAAAAAAAAAAAAAAAAAAAAFtDb250ZW50X1R5cGVz&#10;XS54bWxQSwECLQAUAAYACAAAACEAOP0h/9YAAACUAQAACwAAAAAAAAAAAAAAAAAvAQAAX3JlbHMv&#10;LnJlbHNQSwECLQAUAAYACAAAACEA9sEKJpYCAABdCgAADgAAAAAAAAAAAAAAAAAuAgAAZHJzL2Uy&#10;b0RvYy54bWxQSwECLQAUAAYACAAAACEAL5GFLeMAAAAMAQAADwAAAAAAAAAAAAAAAADwBAAAZHJz&#10;L2Rvd25yZXYueG1sUEsFBgAAAAAEAAQA8wAAAAAGAAAAAA==&#10;">
                <v:line id="Line 6" o:spid="_x0000_s1027" style="position:absolute;visibility:visible;mso-wrap-style:square" from="7382,-1122" to="7569,-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N4GxAAAANoAAAAPAAAAZHJzL2Rvd25yZXYueG1sRI/NasMw&#10;EITvhb6D2EIupZaTQimOlVDyA4GcktiH3rbWRja1Vo6lxM7bV4VCj8PMfMPky9G24ka9bxwrmCYp&#10;COLK6YaNguK0fXkH4QOyxtYxKbiTh+Xi8SHHTLuBD3Q7BiMihH2GCuoQukxKX9Vk0SeuI47e2fUW&#10;Q5S9kbrHIcJtK2dp+iYtNhwXauxoVVP1fbxaBXpfVhc/mPXnV6FlGbrNwTynSk2exo85iEBj+A//&#10;tXdawSv8Xok3QC5+AAAA//8DAFBLAQItABQABgAIAAAAIQDb4fbL7gAAAIUBAAATAAAAAAAAAAAA&#10;AAAAAAAAAABbQ29udGVudF9UeXBlc10ueG1sUEsBAi0AFAAGAAgAAAAhAFr0LFu/AAAAFQEAAAsA&#10;AAAAAAAAAAAAAAAAHwEAAF9yZWxzLy5yZWxzUEsBAi0AFAAGAAgAAAAhAITo3gbEAAAA2gAAAA8A&#10;AAAAAAAAAAAAAAAABwIAAGRycy9kb3ducmV2LnhtbFBLBQYAAAAAAwADALcAAAD4AgAAAAA=&#10;" strokeweight="1.1pt"/>
                <v:line id="Line 5" o:spid="_x0000_s1028" style="position:absolute;visibility:visible;mso-wrap-style:square" from="7392,-1111" to="7392,-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X9wAAAANoAAAAPAAAAZHJzL2Rvd25yZXYueG1sRI/NisJA&#10;EITvgu8wtLA37SiLP9FRJCB4XKMXb02mTYKZnpCZjdm331lY8FhU1VfU7jDYRvXc+dqJhvksAcVS&#10;OFNLqeF2PU3XoHwgMdQ4YQ0/7OGwH492lBr3kgv3eShVhIhPSUMVQpsi+qJiS37mWpboPVxnKUTZ&#10;lWg6ekW4bXCRJEu0VEtcqKjlrOLimX9bDQneN67EDPEUFv1588y+Vqtc64/JcNyCCjyEd/i/fTYa&#10;PuHvSrwBuP8FAAD//wMAUEsBAi0AFAAGAAgAAAAhANvh9svuAAAAhQEAABMAAAAAAAAAAAAAAAAA&#10;AAAAAFtDb250ZW50X1R5cGVzXS54bWxQSwECLQAUAAYACAAAACEAWvQsW78AAAAVAQAACwAAAAAA&#10;AAAAAAAAAAAfAQAAX3JlbHMvLnJlbHNQSwECLQAUAAYACAAAACEA6MWV/cAAAADaAAAADwAAAAAA&#10;AAAAAAAAAAAHAgAAZHJzL2Rvd25yZXYueG1sUEsFBgAAAAADAAMAtwAAAPQCAAAAAA==&#10;" strokeweight=".34106mm"/>
                <v:line id="Line 4" o:spid="_x0000_s1029" style="position:absolute;visibility:visible;mso-wrap-style:square" from="7382,-956" to="7569,-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ePpxAAAANoAAAAPAAAAZHJzL2Rvd25yZXYueG1sRI/NasMw&#10;EITvhb6D2EIupZYTaCmOlVDyA4GcktiH3rbWRja1Vo6lxM7bV4VCj8PMfMPky9G24ka9bxwrmCYp&#10;COLK6YaNguK0fXkH4QOyxtYxKbiTh+Xi8SHHTLuBD3Q7BiMihH2GCuoQukxKX9Vk0SeuI47e2fUW&#10;Q5S9kbrHIcJtK2dp+iYtNhwXauxoVVP1fbxaBXpfVhc/mPXnV6FlGbrNwTynSk2exo85iEBj+A//&#10;tXdawSv8Xok3QC5+AAAA//8DAFBLAQItABQABgAIAAAAIQDb4fbL7gAAAIUBAAATAAAAAAAAAAAA&#10;AAAAAAAAAABbQ29udGVudF9UeXBlc10ueG1sUEsBAi0AFAAGAAgAAAAhAFr0LFu/AAAAFQEAAAsA&#10;AAAAAAAAAAAAAAAAHwEAAF9yZWxzLy5yZWxzUEsBAi0AFAAGAAgAAAAhAGRN4+nEAAAA2gAAAA8A&#10;AAAAAAAAAAAAAAAABwIAAGRycy9kb3ducmV2LnhtbFBLBQYAAAAAAwADALcAAAD4AgAAAAA=&#10;" strokeweight="1.1pt"/>
                <v:line id="Line 3" o:spid="_x0000_s1030" style="position:absolute;visibility:visible;mso-wrap-style:square" from="7559,-1111" to="7559,-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bBYwwAAANoAAAAPAAAAZHJzL2Rvd25yZXYueG1sRI9LawJB&#10;EITvgv9haCE37VVIlI2jBFFMDhIfueTW7PQ+cKdn2Zno+u8dIeCxqKqvqPmys7W6cOsrJxrGowQU&#10;S+ZMJYWGn9NmOAPlA4mh2glruLGH5aLfm1Nq3FUOfDmGQkWI+JQ0lCE0KaLPSrbkR65hiV7uWksh&#10;yrZA09I1wm2NkyR5Q0uVxIWSGl6VnJ2Pf1ZDt6vOtz3ucsTf9dd29Z2/hm2u9cug+3gHFbgLz/B/&#10;+9NomMLjSrwBuLgDAAD//wMAUEsBAi0AFAAGAAgAAAAhANvh9svuAAAAhQEAABMAAAAAAAAAAAAA&#10;AAAAAAAAAFtDb250ZW50X1R5cGVzXS54bWxQSwECLQAUAAYACAAAACEAWvQsW78AAAAVAQAACwAA&#10;AAAAAAAAAAAAAAAfAQAAX3JlbHMvLnJlbHNQSwECLQAUAAYACAAAACEAdsWwWMMAAADaAAAADwAA&#10;AAAAAAAAAAAAAAAHAgAAZHJzL2Rvd25yZXYueG1sUEsFBgAAAAADAAMAtwAAAPcCAAAAAA==&#10;" strokeweight=".35761mm"/>
                <w10:wrap anchorx="page"/>
              </v:group>
            </w:pict>
          </mc:Fallback>
        </mc:AlternateContent>
      </w:r>
      <w:r w:rsidRPr="004A5BE9">
        <w:rPr>
          <w:rFonts w:ascii="Arial" w:eastAsia="Arial" w:hAnsi="Arial" w:cs="Arial"/>
          <w:b/>
          <w:bCs/>
        </w:rPr>
        <w:t>POLICY</w:t>
      </w:r>
      <w:r w:rsidRPr="004A5BE9">
        <w:rPr>
          <w:rFonts w:ascii="Arial" w:eastAsia="Arial" w:hAnsi="Arial" w:cs="Arial"/>
          <w:bCs/>
        </w:rPr>
        <w:t>:</w:t>
      </w:r>
    </w:p>
    <w:p w14:paraId="4467E2EC" w14:textId="2426F970" w:rsidR="004A5BE9" w:rsidRPr="004A5BE9" w:rsidRDefault="004A5BE9" w:rsidP="004A5BE9">
      <w:pPr>
        <w:widowControl w:val="0"/>
        <w:autoSpaceDE w:val="0"/>
        <w:autoSpaceDN w:val="0"/>
        <w:spacing w:before="167" w:after="0" w:line="256" w:lineRule="auto"/>
        <w:ind w:left="400" w:right="270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>It is the policy of this facility to provide medically necessary services to residents while ensuring the prevention and control of infection is prioritized to ensure resident safety and well-being.  The facility IDT Team will review with resident/resident representative any specialty service request and defer as necessary non urgent consultant services during the C</w:t>
      </w:r>
      <w:r>
        <w:rPr>
          <w:rFonts w:ascii="Arial" w:eastAsia="Arial" w:hAnsi="Arial" w:cs="Arial"/>
        </w:rPr>
        <w:t>OVID-19</w:t>
      </w:r>
      <w:r w:rsidRPr="004A5BE9">
        <w:rPr>
          <w:rFonts w:ascii="Arial" w:eastAsia="Arial" w:hAnsi="Arial" w:cs="Arial"/>
        </w:rPr>
        <w:t xml:space="preserve"> pandemic. </w:t>
      </w:r>
    </w:p>
    <w:p w14:paraId="60795DC9" w14:textId="77777777" w:rsidR="004A5BE9" w:rsidRPr="004A5BE9" w:rsidRDefault="004A5BE9" w:rsidP="004A5BE9">
      <w:pPr>
        <w:widowControl w:val="0"/>
        <w:autoSpaceDE w:val="0"/>
        <w:autoSpaceDN w:val="0"/>
        <w:spacing w:before="202" w:after="0" w:line="240" w:lineRule="auto"/>
        <w:ind w:left="160"/>
        <w:outlineLvl w:val="0"/>
        <w:rPr>
          <w:rFonts w:ascii="Arial" w:eastAsia="Arial" w:hAnsi="Arial" w:cs="Arial"/>
          <w:bCs/>
        </w:rPr>
      </w:pPr>
      <w:r w:rsidRPr="004A5BE9">
        <w:rPr>
          <w:rFonts w:ascii="Arial" w:eastAsia="Arial" w:hAnsi="Arial" w:cs="Arial"/>
          <w:b/>
          <w:bCs/>
        </w:rPr>
        <w:t>PROCEDURE</w:t>
      </w:r>
      <w:r w:rsidRPr="004A5BE9">
        <w:rPr>
          <w:rFonts w:ascii="Arial" w:eastAsia="Arial" w:hAnsi="Arial" w:cs="Arial"/>
          <w:bCs/>
        </w:rPr>
        <w:t>:</w:t>
      </w:r>
    </w:p>
    <w:p w14:paraId="2B0FD0FF" w14:textId="77777777" w:rsidR="004A5BE9" w:rsidRPr="004A5BE9" w:rsidRDefault="004A5BE9" w:rsidP="004A5BE9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>The Primary physician will assess and order any medically necessary consults including dental, podiatry, Psychiatry, Psychology, or any other consult needed for resident clinical needs.</w:t>
      </w:r>
    </w:p>
    <w:p w14:paraId="18D18C79" w14:textId="34AF904B" w:rsidR="004A5BE9" w:rsidRPr="004A5BE9" w:rsidRDefault="004A5BE9" w:rsidP="004A5BE9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 xml:space="preserve">The </w:t>
      </w:r>
      <w:r w:rsidR="00C02E13">
        <w:rPr>
          <w:rFonts w:ascii="Arial" w:eastAsia="Arial" w:hAnsi="Arial" w:cs="Arial"/>
        </w:rPr>
        <w:t xml:space="preserve">Primary physician </w:t>
      </w:r>
      <w:r w:rsidRPr="004A5BE9">
        <w:rPr>
          <w:rFonts w:ascii="Arial" w:eastAsia="Arial" w:hAnsi="Arial" w:cs="Arial"/>
        </w:rPr>
        <w:t>in conjunction with Medical Director will determine if any consultant visit can be done via Telehealth.  The facility will optimize telehealth services where possible.</w:t>
      </w:r>
    </w:p>
    <w:p w14:paraId="3A06BC86" w14:textId="053F71EC" w:rsidR="004A5BE9" w:rsidRPr="004A5BE9" w:rsidRDefault="004A5BE9" w:rsidP="004A5BE9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>All consultants require weekly C</w:t>
      </w:r>
      <w:r>
        <w:rPr>
          <w:rFonts w:ascii="Arial" w:eastAsia="Arial" w:hAnsi="Arial" w:cs="Arial"/>
        </w:rPr>
        <w:t>OVID-19</w:t>
      </w:r>
      <w:r w:rsidRPr="004A5BE9">
        <w:rPr>
          <w:rFonts w:ascii="Arial" w:eastAsia="Arial" w:hAnsi="Arial" w:cs="Arial"/>
        </w:rPr>
        <w:t xml:space="preserve"> testing, according to Governor Executive Order.    </w:t>
      </w:r>
    </w:p>
    <w:p w14:paraId="2F7B2DDB" w14:textId="471EA172" w:rsidR="004A5BE9" w:rsidRPr="004A5BE9" w:rsidRDefault="004A5BE9" w:rsidP="004A5BE9">
      <w:pPr>
        <w:widowControl w:val="0"/>
        <w:numPr>
          <w:ilvl w:val="0"/>
          <w:numId w:val="2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  <w:u w:val="single"/>
        </w:rPr>
        <w:t>Designated Phase 1 Facility</w:t>
      </w:r>
      <w:r w:rsidRPr="004A5BE9">
        <w:rPr>
          <w:rFonts w:ascii="Arial" w:eastAsia="Arial" w:hAnsi="Arial" w:cs="Arial"/>
        </w:rPr>
        <w:t xml:space="preserve"> - If the consultant is at facility greater than 3 days per week, he/she must be swabbed biweekly for C</w:t>
      </w:r>
      <w:r>
        <w:rPr>
          <w:rFonts w:ascii="Arial" w:eastAsia="Arial" w:hAnsi="Arial" w:cs="Arial"/>
        </w:rPr>
        <w:t>OVID</w:t>
      </w:r>
      <w:r w:rsidRPr="004A5BE9">
        <w:rPr>
          <w:rFonts w:ascii="Arial" w:eastAsia="Arial" w:hAnsi="Arial" w:cs="Arial"/>
        </w:rPr>
        <w:t xml:space="preserve"> testing.  If Consultant is in facility three days or </w:t>
      </w:r>
      <w:proofErr w:type="gramStart"/>
      <w:r w:rsidRPr="004A5BE9">
        <w:rPr>
          <w:rFonts w:ascii="Arial" w:eastAsia="Arial" w:hAnsi="Arial" w:cs="Arial"/>
        </w:rPr>
        <w:t>less</w:t>
      </w:r>
      <w:proofErr w:type="gramEnd"/>
      <w:r w:rsidRPr="004A5BE9">
        <w:rPr>
          <w:rFonts w:ascii="Arial" w:eastAsia="Arial" w:hAnsi="Arial" w:cs="Arial"/>
        </w:rPr>
        <w:t xml:space="preserve"> he/she must be swabbed once per week for C</w:t>
      </w:r>
      <w:r>
        <w:rPr>
          <w:rFonts w:ascii="Arial" w:eastAsia="Arial" w:hAnsi="Arial" w:cs="Arial"/>
        </w:rPr>
        <w:t>OVID</w:t>
      </w:r>
      <w:r w:rsidRPr="004A5BE9">
        <w:rPr>
          <w:rFonts w:ascii="Arial" w:eastAsia="Arial" w:hAnsi="Arial" w:cs="Arial"/>
        </w:rPr>
        <w:t xml:space="preserve"> Testing.  </w:t>
      </w:r>
    </w:p>
    <w:p w14:paraId="239B07D9" w14:textId="77777777" w:rsidR="004A5BE9" w:rsidRPr="004A5BE9" w:rsidRDefault="004A5BE9" w:rsidP="004A5BE9">
      <w:pPr>
        <w:widowControl w:val="0"/>
        <w:numPr>
          <w:ilvl w:val="0"/>
          <w:numId w:val="2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  <w:u w:val="single"/>
        </w:rPr>
        <w:t>Designated Phase 2 Facility</w:t>
      </w:r>
      <w:r w:rsidRPr="004A5BE9">
        <w:rPr>
          <w:rFonts w:ascii="Arial" w:eastAsia="Arial" w:hAnsi="Arial" w:cs="Arial"/>
        </w:rPr>
        <w:t xml:space="preserve"> - Consultant must be swabbed once per week, (If they come to the facility weekly).</w:t>
      </w:r>
    </w:p>
    <w:p w14:paraId="0D88C8C8" w14:textId="7EACE911" w:rsidR="004A5BE9" w:rsidRPr="004A5BE9" w:rsidRDefault="004A5BE9" w:rsidP="004A5BE9">
      <w:pPr>
        <w:widowControl w:val="0"/>
        <w:numPr>
          <w:ilvl w:val="0"/>
          <w:numId w:val="2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>Upon entering the facility, Consultant may submit proof/results that the required weekly C</w:t>
      </w:r>
      <w:r>
        <w:rPr>
          <w:rFonts w:ascii="Arial" w:eastAsia="Arial" w:hAnsi="Arial" w:cs="Arial"/>
        </w:rPr>
        <w:t>OVID</w:t>
      </w:r>
      <w:r w:rsidRPr="004A5BE9">
        <w:rPr>
          <w:rFonts w:ascii="Arial" w:eastAsia="Arial" w:hAnsi="Arial" w:cs="Arial"/>
        </w:rPr>
        <w:t xml:space="preserve"> testing was done in another facility.</w:t>
      </w:r>
    </w:p>
    <w:p w14:paraId="538B55EE" w14:textId="0B1B692D" w:rsidR="004A5BE9" w:rsidRPr="004A5BE9" w:rsidRDefault="004A5BE9" w:rsidP="004A5BE9">
      <w:pPr>
        <w:widowControl w:val="0"/>
        <w:numPr>
          <w:ilvl w:val="0"/>
          <w:numId w:val="2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 xml:space="preserve">Consultant will be notified if he/she has positive test results.  If positive, Consultant may not return to facility for 14 days, if asymptomatic and submits a negative </w:t>
      </w:r>
      <w:r>
        <w:rPr>
          <w:rFonts w:ascii="Arial" w:eastAsia="Arial" w:hAnsi="Arial" w:cs="Arial"/>
        </w:rPr>
        <w:t>COVID</w:t>
      </w:r>
      <w:r w:rsidRPr="004A5BE9">
        <w:rPr>
          <w:rFonts w:ascii="Arial" w:eastAsia="Arial" w:hAnsi="Arial" w:cs="Arial"/>
        </w:rPr>
        <w:t xml:space="preserve"> test. </w:t>
      </w:r>
    </w:p>
    <w:p w14:paraId="114EA2F3" w14:textId="77777777" w:rsidR="004A5BE9" w:rsidRPr="004A5BE9" w:rsidRDefault="004A5BE9" w:rsidP="004A5BE9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>Consultant(s) will meet with the Infection Preventionist as needed to ensure Facility Infection policies and procedures are understood and adhered to.</w:t>
      </w:r>
    </w:p>
    <w:p w14:paraId="10CDF522" w14:textId="77777777" w:rsidR="004A5BE9" w:rsidRPr="004A5BE9" w:rsidRDefault="004A5BE9" w:rsidP="004A5BE9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 xml:space="preserve">Consultant will be screened and respond to questionnaire prior to entering facility.  If consultant has temperature of 100 or any </w:t>
      </w:r>
      <w:r w:rsidRPr="004A5BE9">
        <w:rPr>
          <w:rFonts w:ascii="Arial" w:eastAsia="Arial" w:hAnsi="Arial" w:cs="Arial"/>
        </w:rPr>
        <w:lastRenderedPageBreak/>
        <w:t>respiratory symptom, they will not be permitted to enter facility.</w:t>
      </w:r>
    </w:p>
    <w:p w14:paraId="4841DD50" w14:textId="77777777" w:rsidR="004A5BE9" w:rsidRPr="004A5BE9" w:rsidRDefault="004A5BE9" w:rsidP="004A5BE9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 xml:space="preserve">A Facility Staff member will accompany/assist Consultant performing tasks (not including psychologist) as needed. </w:t>
      </w:r>
    </w:p>
    <w:p w14:paraId="21D4163D" w14:textId="7298624C" w:rsidR="004A5BE9" w:rsidRPr="004A5BE9" w:rsidRDefault="004A5BE9" w:rsidP="004A5BE9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>Consultant(s) can only provide services on C</w:t>
      </w:r>
      <w:r>
        <w:rPr>
          <w:rFonts w:ascii="Arial" w:eastAsia="Arial" w:hAnsi="Arial" w:cs="Arial"/>
        </w:rPr>
        <w:t>OVID-19</w:t>
      </w:r>
      <w:r w:rsidRPr="004A5BE9">
        <w:rPr>
          <w:rFonts w:ascii="Arial" w:eastAsia="Arial" w:hAnsi="Arial" w:cs="Arial"/>
        </w:rPr>
        <w:t xml:space="preserve"> negative units or in designated Medical offices. </w:t>
      </w:r>
    </w:p>
    <w:p w14:paraId="2E2EE8F5" w14:textId="77777777" w:rsidR="004A5BE9" w:rsidRPr="004A5BE9" w:rsidRDefault="004A5BE9" w:rsidP="004A5BE9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 xml:space="preserve">All Facility cleaning and disinfection practices will be conducted in between each resident treatment as per Facility P/P. </w:t>
      </w:r>
    </w:p>
    <w:p w14:paraId="58ABC4B0" w14:textId="77777777" w:rsidR="004A5BE9" w:rsidRPr="004A5BE9" w:rsidRDefault="004A5BE9" w:rsidP="004A5BE9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 xml:space="preserve">Consultant will submit guidance for cleaning and disinfection procedure for any equipment utilized. </w:t>
      </w:r>
    </w:p>
    <w:p w14:paraId="50A56AEE" w14:textId="77777777" w:rsidR="004A5BE9" w:rsidRPr="004A5BE9" w:rsidRDefault="004A5BE9" w:rsidP="004A5BE9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 xml:space="preserve">Consultant must follow strict hand hygiene.  </w:t>
      </w:r>
    </w:p>
    <w:p w14:paraId="750401E0" w14:textId="77777777" w:rsidR="004A5BE9" w:rsidRPr="004A5BE9" w:rsidRDefault="004A5BE9" w:rsidP="004A5BE9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 xml:space="preserve">Consultant will always wear mask upon entering facility and while in the facility. </w:t>
      </w:r>
    </w:p>
    <w:p w14:paraId="35C8F147" w14:textId="77777777" w:rsidR="004A5BE9" w:rsidRPr="004A5BE9" w:rsidRDefault="004A5BE9" w:rsidP="004A5BE9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 xml:space="preserve">Required PPE such as gloves, gown, or eye protection to be used according to Infection Control policy.   </w:t>
      </w:r>
    </w:p>
    <w:p w14:paraId="78DCF0DB" w14:textId="77777777" w:rsidR="004A5BE9" w:rsidRPr="004A5BE9" w:rsidRDefault="004A5BE9" w:rsidP="004A5BE9">
      <w:pPr>
        <w:widowControl w:val="0"/>
        <w:numPr>
          <w:ilvl w:val="0"/>
          <w:numId w:val="1"/>
        </w:numPr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  <w:r w:rsidRPr="004A5BE9">
        <w:rPr>
          <w:rFonts w:ascii="Arial" w:eastAsia="Arial" w:hAnsi="Arial" w:cs="Arial"/>
        </w:rPr>
        <w:t xml:space="preserve">Dental, Ophthalmology and Podiatry may have equipment that warrant specific infection control procedures and need to submit specific procedure for COVID-19 the cleaning and disinfecting of equipment.   </w:t>
      </w:r>
    </w:p>
    <w:p w14:paraId="4F10E703" w14:textId="77777777" w:rsidR="004A5BE9" w:rsidRPr="004A5BE9" w:rsidRDefault="004A5BE9" w:rsidP="004A5BE9">
      <w:pPr>
        <w:widowControl w:val="0"/>
        <w:tabs>
          <w:tab w:val="left" w:pos="1599"/>
          <w:tab w:val="left" w:pos="1600"/>
        </w:tabs>
        <w:autoSpaceDE w:val="0"/>
        <w:autoSpaceDN w:val="0"/>
        <w:spacing w:before="43" w:after="0" w:line="285" w:lineRule="auto"/>
        <w:ind w:right="1737"/>
        <w:rPr>
          <w:rFonts w:ascii="Arial" w:eastAsia="Arial" w:hAnsi="Arial" w:cs="Arial"/>
        </w:rPr>
      </w:pPr>
    </w:p>
    <w:p w14:paraId="3AEAEBB7" w14:textId="77777777" w:rsidR="00CB490B" w:rsidRDefault="00CB490B" w:rsidP="00CB490B"/>
    <w:p w14:paraId="1F463021" w14:textId="4A4B0425" w:rsidR="00CB490B" w:rsidRDefault="00CB490B" w:rsidP="00CB490B">
      <w:hyperlink r:id="rId8" w:history="1">
        <w:r>
          <w:rPr>
            <w:rStyle w:val="Hyperlink"/>
          </w:rPr>
          <w:t>https://www.cdc.gov/oralhealth/infectioncontrol/statement-COVID.html</w:t>
        </w:r>
      </w:hyperlink>
    </w:p>
    <w:p w14:paraId="62B12E57" w14:textId="7990FD1C" w:rsidR="00CB490B" w:rsidRDefault="00CB490B" w:rsidP="00CB490B">
      <w:hyperlink r:id="rId9" w:history="1">
        <w:r>
          <w:rPr>
            <w:rStyle w:val="Hyperlink"/>
          </w:rPr>
          <w:t>https://www.cdc.gov/coronavirus/2019-ncov/hcp/long-term-care.html</w:t>
        </w:r>
      </w:hyperlink>
    </w:p>
    <w:p w14:paraId="7E201D92" w14:textId="77777777" w:rsidR="00351065" w:rsidRPr="004A5BE9" w:rsidRDefault="00351065" w:rsidP="004A5BE9"/>
    <w:sectPr w:rsidR="00351065" w:rsidRPr="004A5BE9" w:rsidSect="00E066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E1D0F" w14:textId="77777777" w:rsidR="000B786D" w:rsidRDefault="000B786D" w:rsidP="0082334C">
      <w:pPr>
        <w:spacing w:after="0" w:line="240" w:lineRule="auto"/>
      </w:pPr>
      <w:r>
        <w:separator/>
      </w:r>
    </w:p>
  </w:endnote>
  <w:endnote w:type="continuationSeparator" w:id="0">
    <w:p w14:paraId="6084F33C" w14:textId="77777777" w:rsidR="000B786D" w:rsidRDefault="000B786D" w:rsidP="00823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5FD4C" w14:textId="77777777" w:rsidR="00C02E13" w:rsidRDefault="00C02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79F8" w14:textId="77777777" w:rsidR="00C02E13" w:rsidRDefault="00C02E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7538E" w14:textId="77777777" w:rsidR="00C02E13" w:rsidRDefault="00C02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DD79B" w14:textId="77777777" w:rsidR="000B786D" w:rsidRDefault="000B786D" w:rsidP="0082334C">
      <w:pPr>
        <w:spacing w:after="0" w:line="240" w:lineRule="auto"/>
      </w:pPr>
      <w:r>
        <w:separator/>
      </w:r>
    </w:p>
  </w:footnote>
  <w:footnote w:type="continuationSeparator" w:id="0">
    <w:p w14:paraId="6F08E749" w14:textId="77777777" w:rsidR="000B786D" w:rsidRDefault="000B786D" w:rsidP="00823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2D5B7" w14:textId="77777777" w:rsidR="00C02E13" w:rsidRDefault="00C02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136AC" w14:textId="3C5CE2A2" w:rsidR="00923F68" w:rsidRDefault="00C02E13" w:rsidP="00923F68">
    <w:pPr>
      <w:pStyle w:val="Header"/>
      <w:jc w:val="center"/>
    </w:pPr>
    <w:sdt>
      <w:sdtPr>
        <w:id w:val="-1990851683"/>
        <w:docPartObj>
          <w:docPartGallery w:val="Watermarks"/>
          <w:docPartUnique/>
        </w:docPartObj>
      </w:sdtPr>
      <w:sdtContent>
        <w:r>
          <w:rPr>
            <w:noProof/>
          </w:rPr>
          <w:pict w14:anchorId="360D15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1C0ECF">
      <w:rPr>
        <w:noProof/>
      </w:rPr>
      <w:drawing>
        <wp:inline distT="0" distB="0" distL="0" distR="0" wp14:anchorId="793DFBC5" wp14:editId="59F0B91D">
          <wp:extent cx="6334125" cy="76808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125" cy="76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8B2CCB" w14:textId="77777777" w:rsidR="00923F68" w:rsidRDefault="00CB49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5E3FE" w14:textId="77777777" w:rsidR="00C02E13" w:rsidRDefault="00C02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47064"/>
    <w:multiLevelType w:val="hybridMultilevel"/>
    <w:tmpl w:val="D55CA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763081"/>
    <w:multiLevelType w:val="hybridMultilevel"/>
    <w:tmpl w:val="01462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A3C61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AE"/>
    <w:rsid w:val="00033044"/>
    <w:rsid w:val="000962E3"/>
    <w:rsid w:val="000B786D"/>
    <w:rsid w:val="00172921"/>
    <w:rsid w:val="001B7D1F"/>
    <w:rsid w:val="001C0ECF"/>
    <w:rsid w:val="002A201F"/>
    <w:rsid w:val="00351065"/>
    <w:rsid w:val="003C5BCA"/>
    <w:rsid w:val="003E0F92"/>
    <w:rsid w:val="003E4D1E"/>
    <w:rsid w:val="004A5BE9"/>
    <w:rsid w:val="0062796C"/>
    <w:rsid w:val="006625DA"/>
    <w:rsid w:val="006662B1"/>
    <w:rsid w:val="00792C85"/>
    <w:rsid w:val="0082334C"/>
    <w:rsid w:val="0086123D"/>
    <w:rsid w:val="008F1515"/>
    <w:rsid w:val="00972C85"/>
    <w:rsid w:val="009920F6"/>
    <w:rsid w:val="009D62A3"/>
    <w:rsid w:val="00C02E13"/>
    <w:rsid w:val="00CB490B"/>
    <w:rsid w:val="00D44BDD"/>
    <w:rsid w:val="00D56DA3"/>
    <w:rsid w:val="00D81F15"/>
    <w:rsid w:val="00E0663C"/>
    <w:rsid w:val="00E132F2"/>
    <w:rsid w:val="00E31FEA"/>
    <w:rsid w:val="00ED64A5"/>
    <w:rsid w:val="00F40AAE"/>
    <w:rsid w:val="00FE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39CA14"/>
  <w15:docId w15:val="{303F4F13-D411-4134-BDD2-A353B641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F92"/>
    <w:pPr>
      <w:spacing w:after="0" w:line="240" w:lineRule="auto"/>
    </w:pPr>
  </w:style>
  <w:style w:type="table" w:styleId="TableGrid">
    <w:name w:val="Table Grid"/>
    <w:basedOn w:val="TableNormal"/>
    <w:uiPriority w:val="59"/>
    <w:rsid w:val="003E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92"/>
  </w:style>
  <w:style w:type="paragraph" w:styleId="BalloonText">
    <w:name w:val="Balloon Text"/>
    <w:basedOn w:val="Normal"/>
    <w:link w:val="BalloonTextChar"/>
    <w:uiPriority w:val="99"/>
    <w:semiHidden/>
    <w:unhideWhenUsed/>
    <w:rsid w:val="003E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3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34C"/>
  </w:style>
  <w:style w:type="table" w:customStyle="1" w:styleId="TableGrid0">
    <w:name w:val="TableGrid"/>
    <w:rsid w:val="00E31FE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B49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oralhealth/infectioncontrol/statement-COVID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hcp/long-term-care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2676-43A0-4A2F-B9D6-6A6F41B3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Mock Survey doc</vt:lpstr>
    </vt:vector>
  </TitlesOfParts>
  <Company>Hewlett-Packard Company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Survey doc</dc:title>
  <dc:creator>Princess Villacarlos;mgw rev</dc:creator>
  <cp:lastModifiedBy>Laura Brick</cp:lastModifiedBy>
  <cp:revision>2</cp:revision>
  <dcterms:created xsi:type="dcterms:W3CDTF">2020-06-17T18:05:00Z</dcterms:created>
  <dcterms:modified xsi:type="dcterms:W3CDTF">2020-06-17T18:05:00Z</dcterms:modified>
</cp:coreProperties>
</file>