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23C4" w14:textId="4661CF74" w:rsidR="00A11BFD" w:rsidRDefault="00A11BFD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0B0A28" w:rsidRPr="00CA3BD1" w14:paraId="4CE0213D" w14:textId="77777777" w:rsidTr="00484F9F">
        <w:tc>
          <w:tcPr>
            <w:tcW w:w="4675" w:type="dxa"/>
          </w:tcPr>
          <w:p w14:paraId="7B14A5B0" w14:textId="77777777" w:rsidR="000B0A28" w:rsidRPr="00CA3BD1" w:rsidRDefault="000B0A28" w:rsidP="00484F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>Infection Prevention and Control Policy and Procedure</w:t>
            </w:r>
          </w:p>
        </w:tc>
        <w:tc>
          <w:tcPr>
            <w:tcW w:w="4860" w:type="dxa"/>
          </w:tcPr>
          <w:p w14:paraId="622552A3" w14:textId="4A13BFA5" w:rsidR="000B0A28" w:rsidRPr="000B0A28" w:rsidRDefault="000B0A28" w:rsidP="00484F9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0B0A28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Pr="000B0A28">
              <w:rPr>
                <w:rFonts w:ascii="Times New Roman" w:hAnsi="Times New Roman" w:cs="Times New Roman"/>
                <w:b/>
              </w:rPr>
              <w:t>Cleaning and Disinfection of Non-Critical Care and Shared Equipment</w:t>
            </w:r>
          </w:p>
        </w:tc>
      </w:tr>
      <w:tr w:rsidR="000B0A28" w:rsidRPr="00CA3BD1" w14:paraId="1A9494D5" w14:textId="77777777" w:rsidTr="00484F9F">
        <w:tc>
          <w:tcPr>
            <w:tcW w:w="4675" w:type="dxa"/>
          </w:tcPr>
          <w:p w14:paraId="4D67FBD3" w14:textId="77777777" w:rsidR="000B0A28" w:rsidRPr="00BA3C59" w:rsidRDefault="000B0A28" w:rsidP="00484F9F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  <w:bCs/>
              </w:rPr>
              <w:t>Prepared By</w:t>
            </w:r>
            <w:r w:rsidRPr="00BA3C59">
              <w:rPr>
                <w:rFonts w:ascii="Times New Roman" w:hAnsi="Times New Roman" w:cs="Times New Roman"/>
              </w:rPr>
              <w:t>:</w:t>
            </w:r>
          </w:p>
          <w:p w14:paraId="29349F40" w14:textId="77777777" w:rsidR="000B0A28" w:rsidRPr="00CA3BD1" w:rsidRDefault="000B0A28" w:rsidP="0048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2CE2CAB" w14:textId="77777777" w:rsidR="000B0A28" w:rsidRPr="00CA3BD1" w:rsidRDefault="000B0A28" w:rsidP="00484F9F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Approved By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B0A28" w:rsidRPr="00CA3BD1" w14:paraId="27357F34" w14:textId="77777777" w:rsidTr="00484F9F">
        <w:tc>
          <w:tcPr>
            <w:tcW w:w="4675" w:type="dxa"/>
          </w:tcPr>
          <w:p w14:paraId="511E7AC2" w14:textId="47548946" w:rsidR="000B0A28" w:rsidRDefault="000B0A28" w:rsidP="00484F9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>Effective: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9/5/2022</w:t>
            </w:r>
          </w:p>
          <w:p w14:paraId="195833FA" w14:textId="77777777" w:rsidR="000B0A28" w:rsidRPr="00CA3BD1" w:rsidRDefault="000B0A28" w:rsidP="00484F9F">
            <w:pPr>
              <w:rPr>
                <w:rFonts w:ascii="Times New Roman" w:hAnsi="Times New Roman" w:cs="Times New Roman"/>
                <w:b/>
                <w:bCs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>Reviewed:</w:t>
            </w:r>
          </w:p>
        </w:tc>
        <w:tc>
          <w:tcPr>
            <w:tcW w:w="4860" w:type="dxa"/>
          </w:tcPr>
          <w:p w14:paraId="67CECCF1" w14:textId="11232EEE" w:rsidR="000B0A28" w:rsidRPr="00CA3BD1" w:rsidRDefault="000B0A28" w:rsidP="00484F9F">
            <w:pPr>
              <w:rPr>
                <w:rFonts w:ascii="Times New Roman" w:hAnsi="Times New Roman" w:cs="Times New Roman"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>Revised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3993290" w14:textId="77777777" w:rsidR="000B0A28" w:rsidRPr="00CA3BD1" w:rsidRDefault="000B0A28" w:rsidP="00484F9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16068FD" w14:textId="0DCC148A" w:rsidR="000B0A28" w:rsidRDefault="000B0A28"/>
    <w:p w14:paraId="693CAED3" w14:textId="65BCF194" w:rsidR="000B0A28" w:rsidRPr="00FC4240" w:rsidRDefault="00FC4240" w:rsidP="00F55284">
      <w:pPr>
        <w:spacing w:after="0"/>
        <w:rPr>
          <w:rFonts w:ascii="Times New Roman" w:hAnsi="Times New Roman" w:cs="Times New Roman"/>
          <w:b/>
          <w:sz w:val="24"/>
        </w:rPr>
      </w:pPr>
      <w:r w:rsidRPr="00FC4240">
        <w:rPr>
          <w:rFonts w:ascii="Times New Roman" w:hAnsi="Times New Roman" w:cs="Times New Roman"/>
          <w:b/>
          <w:sz w:val="24"/>
        </w:rPr>
        <w:t>POLICY</w:t>
      </w:r>
    </w:p>
    <w:p w14:paraId="1C8CA025" w14:textId="018DA69A" w:rsidR="00FC4240" w:rsidRDefault="00FC4240" w:rsidP="00F5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240">
        <w:rPr>
          <w:rFonts w:ascii="Times New Roman" w:hAnsi="Times New Roman" w:cs="Times New Roman"/>
          <w:sz w:val="24"/>
          <w:szCs w:val="24"/>
        </w:rPr>
        <w:t xml:space="preserve">It is the policy of this facility to ensure that </w:t>
      </w:r>
      <w:r w:rsidR="003225D0">
        <w:rPr>
          <w:rFonts w:ascii="Times New Roman" w:hAnsi="Times New Roman" w:cs="Times New Roman"/>
          <w:sz w:val="24"/>
          <w:szCs w:val="24"/>
        </w:rPr>
        <w:t>resident care equipment, including reusable items and durable medical equipment</w:t>
      </w:r>
      <w:r w:rsidR="004F51F0">
        <w:rPr>
          <w:rFonts w:ascii="Times New Roman" w:hAnsi="Times New Roman" w:cs="Times New Roman"/>
          <w:sz w:val="24"/>
          <w:szCs w:val="24"/>
        </w:rPr>
        <w:t xml:space="preserve"> will be cleaned and disinfected</w:t>
      </w:r>
      <w:r w:rsidRPr="00FC4240">
        <w:rPr>
          <w:rFonts w:ascii="Times New Roman" w:hAnsi="Times New Roman" w:cs="Times New Roman"/>
          <w:sz w:val="24"/>
          <w:szCs w:val="24"/>
        </w:rPr>
        <w:t xml:space="preserve"> according to current Centers for Disease Control and Prevention (CDC) recommendations for disinfection and the OSHA Bloodborne Pathogens Standard. </w:t>
      </w:r>
    </w:p>
    <w:p w14:paraId="5055D48E" w14:textId="77777777" w:rsidR="00F55284" w:rsidRDefault="00F55284" w:rsidP="00FC4240">
      <w:pPr>
        <w:rPr>
          <w:rFonts w:ascii="Times New Roman" w:hAnsi="Times New Roman" w:cs="Times New Roman"/>
          <w:b/>
          <w:sz w:val="24"/>
          <w:szCs w:val="24"/>
        </w:rPr>
      </w:pPr>
    </w:p>
    <w:p w14:paraId="34405362" w14:textId="0E939F60" w:rsidR="00FC4240" w:rsidRPr="004F51F0" w:rsidRDefault="004F51F0" w:rsidP="00FC4240">
      <w:pPr>
        <w:rPr>
          <w:rFonts w:ascii="Times New Roman" w:hAnsi="Times New Roman" w:cs="Times New Roman"/>
          <w:b/>
          <w:sz w:val="24"/>
          <w:szCs w:val="24"/>
        </w:rPr>
      </w:pPr>
      <w:r w:rsidRPr="004F51F0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7032EA5F" w14:textId="22E149C4" w:rsidR="004F51F0" w:rsidRDefault="004F51F0" w:rsidP="00FC4240">
      <w:pPr>
        <w:rPr>
          <w:rFonts w:ascii="Times New Roman" w:hAnsi="Times New Roman" w:cs="Times New Roman"/>
          <w:sz w:val="24"/>
          <w:szCs w:val="24"/>
        </w:rPr>
      </w:pPr>
      <w:r w:rsidRPr="004F51F0">
        <w:rPr>
          <w:rFonts w:ascii="Times New Roman" w:hAnsi="Times New Roman" w:cs="Times New Roman"/>
          <w:b/>
          <w:sz w:val="24"/>
          <w:szCs w:val="24"/>
        </w:rPr>
        <w:t>Critical items</w:t>
      </w:r>
      <w:r>
        <w:rPr>
          <w:rFonts w:ascii="Times New Roman" w:hAnsi="Times New Roman" w:cs="Times New Roman"/>
          <w:sz w:val="24"/>
          <w:szCs w:val="24"/>
        </w:rPr>
        <w:t xml:space="preserve"> consist of items that carry a high risk of infection if contaminated with any microorganism. </w:t>
      </w:r>
      <w:r w:rsidR="0037693A">
        <w:rPr>
          <w:rFonts w:ascii="Times New Roman" w:hAnsi="Times New Roman" w:cs="Times New Roman"/>
          <w:sz w:val="24"/>
          <w:szCs w:val="24"/>
        </w:rPr>
        <w:t>Objects that enter sterile tissue (e.g. urinary catheters) or the vascular system (e.g. intravenous catheters) are considered critical items and must be sterile.</w:t>
      </w:r>
    </w:p>
    <w:p w14:paraId="461BBF82" w14:textId="2FBCDACE" w:rsidR="0037693A" w:rsidRDefault="0037693A" w:rsidP="00FC4240">
      <w:pPr>
        <w:rPr>
          <w:rFonts w:ascii="Times New Roman" w:hAnsi="Times New Roman" w:cs="Times New Roman"/>
          <w:sz w:val="24"/>
          <w:szCs w:val="24"/>
        </w:rPr>
      </w:pPr>
      <w:r w:rsidRPr="0037693A">
        <w:rPr>
          <w:rFonts w:ascii="Times New Roman" w:hAnsi="Times New Roman" w:cs="Times New Roman"/>
          <w:b/>
          <w:sz w:val="24"/>
          <w:szCs w:val="24"/>
        </w:rPr>
        <w:t>Semi-critical items</w:t>
      </w:r>
      <w:r>
        <w:rPr>
          <w:rFonts w:ascii="Times New Roman" w:hAnsi="Times New Roman" w:cs="Times New Roman"/>
          <w:sz w:val="24"/>
          <w:szCs w:val="24"/>
        </w:rPr>
        <w:t xml:space="preserve"> consist of items that may come in contact with mucous membranes or non-intact skin (e.g. respiratory therapy equipment, cuticle and nail nippers) and require, at a minimum, high level disinfection prior to reuse. </w:t>
      </w:r>
    </w:p>
    <w:p w14:paraId="7B22DCBC" w14:textId="1E97DFE0" w:rsidR="0037693A" w:rsidRDefault="0037693A" w:rsidP="00FC4240">
      <w:pPr>
        <w:rPr>
          <w:rFonts w:ascii="Times New Roman" w:hAnsi="Times New Roman" w:cs="Times New Roman"/>
          <w:sz w:val="24"/>
          <w:szCs w:val="24"/>
        </w:rPr>
      </w:pPr>
      <w:r w:rsidRPr="0037693A">
        <w:rPr>
          <w:rFonts w:ascii="Times New Roman" w:hAnsi="Times New Roman" w:cs="Times New Roman"/>
          <w:b/>
          <w:sz w:val="24"/>
          <w:szCs w:val="24"/>
        </w:rPr>
        <w:t>Non-critical items</w:t>
      </w:r>
      <w:r>
        <w:rPr>
          <w:rFonts w:ascii="Times New Roman" w:hAnsi="Times New Roman" w:cs="Times New Roman"/>
          <w:sz w:val="24"/>
          <w:szCs w:val="24"/>
        </w:rPr>
        <w:t xml:space="preserve"> (e.g. blood pressure cuffs, stethoscopes, bed rails) are those that may come into contact with non-intact skin but not mucous membranes and should undergo low or intermediate-level disinfection. </w:t>
      </w:r>
    </w:p>
    <w:p w14:paraId="43745E41" w14:textId="5D88365A" w:rsidR="00475820" w:rsidRDefault="00641147" w:rsidP="00FC4240">
      <w:pPr>
        <w:rPr>
          <w:rFonts w:ascii="Times New Roman" w:hAnsi="Times New Roman" w:cs="Times New Roman"/>
          <w:sz w:val="24"/>
          <w:szCs w:val="24"/>
        </w:rPr>
      </w:pPr>
      <w:r w:rsidRPr="00641147">
        <w:rPr>
          <w:rFonts w:ascii="Times New Roman" w:hAnsi="Times New Roman" w:cs="Times New Roman"/>
          <w:b/>
          <w:sz w:val="24"/>
          <w:szCs w:val="24"/>
        </w:rPr>
        <w:t>Reusable items</w:t>
      </w:r>
      <w:r>
        <w:rPr>
          <w:rFonts w:ascii="Times New Roman" w:hAnsi="Times New Roman" w:cs="Times New Roman"/>
          <w:sz w:val="24"/>
          <w:szCs w:val="24"/>
        </w:rPr>
        <w:t xml:space="preserve"> are cleaned and disinfected or sterilized between residents (e.g. stethoscopes, durable medical equipment). </w:t>
      </w:r>
    </w:p>
    <w:p w14:paraId="4D99FA27" w14:textId="5CDF827B" w:rsidR="00A72D34" w:rsidRDefault="00A72D34" w:rsidP="00FC4240">
      <w:pPr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hAnsi="Times New Roman" w:cs="Times New Roman"/>
          <w:b/>
          <w:sz w:val="24"/>
          <w:szCs w:val="24"/>
        </w:rPr>
        <w:t>Single resident-use items</w:t>
      </w:r>
      <w:r>
        <w:rPr>
          <w:rFonts w:ascii="Times New Roman" w:hAnsi="Times New Roman" w:cs="Times New Roman"/>
          <w:sz w:val="24"/>
          <w:szCs w:val="24"/>
        </w:rPr>
        <w:t xml:space="preserve"> are cleaned/disinfected </w:t>
      </w:r>
      <w:r w:rsidR="007F08F0">
        <w:rPr>
          <w:rFonts w:ascii="Times New Roman" w:hAnsi="Times New Roman" w:cs="Times New Roman"/>
          <w:sz w:val="24"/>
          <w:szCs w:val="24"/>
        </w:rPr>
        <w:t xml:space="preserve">between uses by a single resident and disposed of afterwards (e.g. bedpans, urinals). </w:t>
      </w:r>
    </w:p>
    <w:p w14:paraId="059D9EED" w14:textId="413D27B8" w:rsidR="007F08F0" w:rsidRDefault="007F08F0" w:rsidP="00FC4240">
      <w:pPr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hAnsi="Times New Roman" w:cs="Times New Roman"/>
          <w:b/>
          <w:sz w:val="24"/>
          <w:szCs w:val="24"/>
        </w:rPr>
        <w:t>Sing</w:t>
      </w:r>
      <w:r w:rsidR="00C2758A">
        <w:rPr>
          <w:rFonts w:ascii="Times New Roman" w:hAnsi="Times New Roman" w:cs="Times New Roman"/>
          <w:b/>
          <w:sz w:val="24"/>
          <w:szCs w:val="24"/>
        </w:rPr>
        <w:t>le</w:t>
      </w:r>
      <w:r w:rsidRPr="007F08F0">
        <w:rPr>
          <w:rFonts w:ascii="Times New Roman" w:hAnsi="Times New Roman" w:cs="Times New Roman"/>
          <w:b/>
          <w:sz w:val="24"/>
          <w:szCs w:val="24"/>
        </w:rPr>
        <w:t>-use items</w:t>
      </w:r>
      <w:r>
        <w:rPr>
          <w:rFonts w:ascii="Times New Roman" w:hAnsi="Times New Roman" w:cs="Times New Roman"/>
          <w:sz w:val="24"/>
          <w:szCs w:val="24"/>
        </w:rPr>
        <w:t xml:space="preserve"> are disposed of after a single use (e.g.</w:t>
      </w:r>
      <w:r w:rsidR="00F5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thermometer probe covers)</w:t>
      </w:r>
    </w:p>
    <w:p w14:paraId="23605827" w14:textId="77777777" w:rsidR="00C260E7" w:rsidRDefault="00C260E7" w:rsidP="00F552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33283" w14:textId="440F8B50" w:rsidR="00C2758A" w:rsidRPr="00F55284" w:rsidRDefault="00C2758A" w:rsidP="00F55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284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74A2BF2E" w14:textId="52CA627D" w:rsidR="00C2758A" w:rsidRDefault="00F55284" w:rsidP="00F552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and semi-critical items will be sterilized/disinfected in a central processing location and stored appropriately until use. </w:t>
      </w:r>
    </w:p>
    <w:p w14:paraId="39312788" w14:textId="04EE4BD1" w:rsidR="00F55284" w:rsidRDefault="00F55284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Durable medical equipment (DME) will be cleaned and disinfected before reuse by another resident.</w:t>
      </w:r>
    </w:p>
    <w:p w14:paraId="44DF37E3" w14:textId="77777777" w:rsidR="00C1702B" w:rsidRDefault="00C1702B" w:rsidP="00C170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27CF2F7" w14:textId="41452697" w:rsidR="00C260E7" w:rsidRDefault="00C260E7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Reusable resident care equipment</w:t>
      </w:r>
      <w:r w:rsidR="004872A2">
        <w:rPr>
          <w:rFonts w:ascii="Times New Roman" w:hAnsi="Times New Roman" w:cs="Times New Roman"/>
          <w:sz w:val="24"/>
          <w:szCs w:val="24"/>
        </w:rPr>
        <w:t xml:space="preserve"> will be decontaminated and/or sterilized between residents according to manufacturers’ instructions.</w:t>
      </w:r>
    </w:p>
    <w:p w14:paraId="13F54015" w14:textId="637E7228" w:rsidR="004872A2" w:rsidRDefault="004872A2" w:rsidP="00487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Policy and Procedure from </w:t>
      </w:r>
      <w:r w:rsidR="00C1702B">
        <w:rPr>
          <w:rFonts w:ascii="Times New Roman" w:hAnsi="Times New Roman" w:cs="Times New Roman"/>
          <w:sz w:val="24"/>
          <w:szCs w:val="24"/>
        </w:rPr>
        <w:t>(</w:t>
      </w:r>
      <w:r w:rsidR="00C1702B" w:rsidRPr="00C1702B">
        <w:rPr>
          <w:rFonts w:ascii="Times New Roman" w:hAnsi="Times New Roman" w:cs="Times New Roman"/>
          <w:sz w:val="24"/>
          <w:szCs w:val="24"/>
          <w:highlight w:val="yellow"/>
        </w:rPr>
        <w:t>insert name of Podiatry Consulting Company</w:t>
      </w:r>
      <w:r w:rsidR="00C1702B">
        <w:rPr>
          <w:rFonts w:ascii="Times New Roman" w:hAnsi="Times New Roman" w:cs="Times New Roman"/>
          <w:sz w:val="24"/>
          <w:szCs w:val="24"/>
        </w:rPr>
        <w:t xml:space="preserve">) for specific details for cleaning and disinfection of podiatric equipment. </w:t>
      </w:r>
    </w:p>
    <w:p w14:paraId="4B68CD2A" w14:textId="53C6FE5C" w:rsidR="00F55284" w:rsidRDefault="00164493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equipment that is designated reusable will be used by more than one resident.</w:t>
      </w:r>
    </w:p>
    <w:p w14:paraId="1418E30B" w14:textId="2DF622BA" w:rsidR="00164493" w:rsidRDefault="00164493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use items will be discarded after a single use.</w:t>
      </w:r>
    </w:p>
    <w:p w14:paraId="569F0279" w14:textId="1BA069ED" w:rsidR="00164493" w:rsidRDefault="00164493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will utilize EPA-registered products for disinfection when indicated. </w:t>
      </w:r>
    </w:p>
    <w:p w14:paraId="740C63D7" w14:textId="7187E250" w:rsidR="00164493" w:rsidRDefault="00164493" w:rsidP="00164493">
      <w:pPr>
        <w:rPr>
          <w:rFonts w:ascii="Times New Roman" w:hAnsi="Times New Roman" w:cs="Times New Roman"/>
          <w:sz w:val="24"/>
          <w:szCs w:val="24"/>
        </w:rPr>
      </w:pPr>
    </w:p>
    <w:p w14:paraId="0501FB9F" w14:textId="089D678F" w:rsidR="00164493" w:rsidRPr="00164493" w:rsidRDefault="00164493" w:rsidP="00164493">
      <w:pPr>
        <w:rPr>
          <w:rFonts w:ascii="Times New Roman" w:hAnsi="Times New Roman" w:cs="Times New Roman"/>
          <w:b/>
          <w:sz w:val="24"/>
          <w:szCs w:val="24"/>
        </w:rPr>
      </w:pPr>
      <w:r w:rsidRPr="00164493">
        <w:rPr>
          <w:rFonts w:ascii="Times New Roman" w:hAnsi="Times New Roman" w:cs="Times New Roman"/>
          <w:b/>
          <w:sz w:val="24"/>
          <w:szCs w:val="24"/>
        </w:rPr>
        <w:t>Reference(s)</w:t>
      </w:r>
      <w:r w:rsidRPr="00164493">
        <w:rPr>
          <w:rFonts w:ascii="Times New Roman" w:hAnsi="Times New Roman" w:cs="Times New Roman"/>
          <w:sz w:val="24"/>
          <w:szCs w:val="24"/>
        </w:rPr>
        <w:t>:</w:t>
      </w:r>
    </w:p>
    <w:p w14:paraId="199A9CB0" w14:textId="1CAA7E5E" w:rsidR="00164493" w:rsidRDefault="00164493" w:rsidP="00BC37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(10/2018). Guide to Infection Prevention for Outpatient Podiatry Settings. </w:t>
      </w:r>
      <w:hyperlink r:id="rId7" w:history="1">
        <w:r w:rsidRPr="00043950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https://www.cdc.gov/infectioncontrol/pdf/Podiatry-Guide_508.pdf</w:t>
        </w:r>
      </w:hyperlink>
    </w:p>
    <w:p w14:paraId="53BE9731" w14:textId="707ACFB4" w:rsidR="00164493" w:rsidRDefault="00164493" w:rsidP="00BC37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(5/24/2019). Guideline for </w:t>
      </w:r>
      <w:r w:rsidR="00BC37D1">
        <w:rPr>
          <w:rFonts w:ascii="Times New Roman" w:hAnsi="Times New Roman" w:cs="Times New Roman"/>
          <w:sz w:val="24"/>
          <w:szCs w:val="24"/>
        </w:rPr>
        <w:t xml:space="preserve">Disinfection and Sterilization in Healthcare Facilities, 2008. </w:t>
      </w:r>
      <w:bookmarkStart w:id="0" w:name="_GoBack"/>
      <w:bookmarkEnd w:id="0"/>
      <w:r w:rsidR="00BC37D1">
        <w:rPr>
          <w:rFonts w:ascii="Times New Roman" w:hAnsi="Times New Roman" w:cs="Times New Roman"/>
          <w:sz w:val="24"/>
          <w:szCs w:val="24"/>
        </w:rPr>
        <w:fldChar w:fldCharType="begin"/>
      </w:r>
      <w:r w:rsidR="00BC37D1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BC37D1" w:rsidRPr="00BC37D1">
        <w:rPr>
          <w:rFonts w:ascii="Times New Roman" w:hAnsi="Times New Roman" w:cs="Times New Roman"/>
          <w:sz w:val="24"/>
          <w:szCs w:val="24"/>
        </w:rPr>
        <w:instrText>https://www.cdc.gov/infectioncontrol/guidelines/disinfection/index.html</w:instrText>
      </w:r>
      <w:r w:rsidR="00BC37D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C37D1">
        <w:rPr>
          <w:rFonts w:ascii="Times New Roman" w:hAnsi="Times New Roman" w:cs="Times New Roman"/>
          <w:sz w:val="24"/>
          <w:szCs w:val="24"/>
        </w:rPr>
        <w:fldChar w:fldCharType="separate"/>
      </w:r>
      <w:r w:rsidR="00BC37D1" w:rsidRPr="00043950">
        <w:rPr>
          <w:rStyle w:val="Hyperlink"/>
          <w:rFonts w:ascii="Times New Roman" w:hAnsi="Times New Roman" w:cs="Times New Roman"/>
          <w:sz w:val="24"/>
          <w:szCs w:val="24"/>
        </w:rPr>
        <w:t>https://www.cdc.gov/infectioncontrol/guidelines/disinfection/index.html</w:t>
      </w:r>
      <w:r w:rsidR="00BC37D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22FD01" w14:textId="77777777" w:rsidR="00BC37D1" w:rsidRDefault="00BC37D1" w:rsidP="00164493">
      <w:pPr>
        <w:rPr>
          <w:rFonts w:ascii="Times New Roman" w:hAnsi="Times New Roman" w:cs="Times New Roman"/>
          <w:sz w:val="24"/>
          <w:szCs w:val="24"/>
        </w:rPr>
      </w:pPr>
    </w:p>
    <w:p w14:paraId="4FBCBF56" w14:textId="77777777" w:rsidR="00164493" w:rsidRPr="00164493" w:rsidRDefault="00164493" w:rsidP="00164493">
      <w:pPr>
        <w:rPr>
          <w:rFonts w:ascii="Times New Roman" w:hAnsi="Times New Roman" w:cs="Times New Roman"/>
          <w:sz w:val="24"/>
          <w:szCs w:val="24"/>
        </w:rPr>
      </w:pPr>
    </w:p>
    <w:sectPr w:rsidR="00164493" w:rsidRPr="001644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C642" w14:textId="77777777" w:rsidR="000B0A28" w:rsidRDefault="000B0A28" w:rsidP="000B0A28">
      <w:pPr>
        <w:spacing w:after="0" w:line="240" w:lineRule="auto"/>
      </w:pPr>
      <w:r>
        <w:separator/>
      </w:r>
    </w:p>
  </w:endnote>
  <w:endnote w:type="continuationSeparator" w:id="0">
    <w:p w14:paraId="3FD20956" w14:textId="77777777" w:rsidR="000B0A28" w:rsidRDefault="000B0A28" w:rsidP="000B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07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C7740" w14:textId="59D086F4" w:rsidR="000B0A28" w:rsidRDefault="000B0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FEE2B" w14:textId="77777777" w:rsidR="000B0A28" w:rsidRDefault="000B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0EF6" w14:textId="77777777" w:rsidR="000B0A28" w:rsidRDefault="000B0A28" w:rsidP="000B0A28">
      <w:pPr>
        <w:spacing w:after="0" w:line="240" w:lineRule="auto"/>
      </w:pPr>
      <w:r>
        <w:separator/>
      </w:r>
    </w:p>
  </w:footnote>
  <w:footnote w:type="continuationSeparator" w:id="0">
    <w:p w14:paraId="008098BD" w14:textId="77777777" w:rsidR="000B0A28" w:rsidRDefault="000B0A28" w:rsidP="000B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0F38" w14:textId="00B4B553" w:rsidR="000B0A28" w:rsidRDefault="000B0A28">
    <w:pPr>
      <w:pStyle w:val="Header"/>
    </w:pPr>
    <w:r>
      <w:rPr>
        <w:noProof/>
      </w:rPr>
      <w:drawing>
        <wp:inline distT="0" distB="0" distL="0" distR="0" wp14:anchorId="58BEC8CB" wp14:editId="422DC727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CD15F" w14:textId="445771C1" w:rsidR="000B0A28" w:rsidRPr="000B0A28" w:rsidRDefault="000B0A28" w:rsidP="000B0A28">
    <w:pPr>
      <w:pStyle w:val="Header"/>
      <w:jc w:val="center"/>
      <w:rPr>
        <w:b/>
        <w:sz w:val="24"/>
        <w:szCs w:val="24"/>
      </w:rPr>
    </w:pPr>
    <w:r w:rsidRPr="000B0A28">
      <w:rPr>
        <w:b/>
        <w:sz w:val="24"/>
        <w:szCs w:val="24"/>
      </w:rPr>
      <w:t>Policy and Procedure: Cleaning and Disinfection of Non-Critical Care and Shared Equipment</w:t>
    </w:r>
  </w:p>
  <w:p w14:paraId="4E700A5C" w14:textId="1214E354" w:rsidR="000B0A28" w:rsidRPr="000B0A28" w:rsidRDefault="000B0A28" w:rsidP="000B0A28">
    <w:pPr>
      <w:pStyle w:val="Header"/>
      <w:jc w:val="center"/>
      <w:rPr>
        <w:b/>
        <w:sz w:val="24"/>
        <w:szCs w:val="24"/>
      </w:rPr>
    </w:pPr>
    <w:r w:rsidRPr="000B0A28">
      <w:rPr>
        <w:b/>
        <w:sz w:val="24"/>
        <w:szCs w:val="24"/>
      </w:rPr>
      <w:t>Facility’s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3A5"/>
    <w:multiLevelType w:val="hybridMultilevel"/>
    <w:tmpl w:val="C4245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70"/>
    <w:rsid w:val="000B0A28"/>
    <w:rsid w:val="00164493"/>
    <w:rsid w:val="003225D0"/>
    <w:rsid w:val="0037693A"/>
    <w:rsid w:val="00475820"/>
    <w:rsid w:val="004872A2"/>
    <w:rsid w:val="004F51F0"/>
    <w:rsid w:val="00641147"/>
    <w:rsid w:val="007F08F0"/>
    <w:rsid w:val="00A11BFD"/>
    <w:rsid w:val="00A35C70"/>
    <w:rsid w:val="00A72D34"/>
    <w:rsid w:val="00BC37D1"/>
    <w:rsid w:val="00C1702B"/>
    <w:rsid w:val="00C260E7"/>
    <w:rsid w:val="00C2758A"/>
    <w:rsid w:val="00CF3179"/>
    <w:rsid w:val="00F55284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F18F"/>
  <w15:chartTrackingRefBased/>
  <w15:docId w15:val="{4F1B4B15-2FF3-4A6C-BD1F-70B0CB74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28"/>
  </w:style>
  <w:style w:type="paragraph" w:styleId="Heading1">
    <w:name w:val="heading 1"/>
    <w:basedOn w:val="Normal"/>
    <w:next w:val="Normal"/>
    <w:link w:val="Heading1Char"/>
    <w:uiPriority w:val="9"/>
    <w:qFormat/>
    <w:rsid w:val="00FC4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28"/>
  </w:style>
  <w:style w:type="paragraph" w:styleId="Footer">
    <w:name w:val="footer"/>
    <w:basedOn w:val="Normal"/>
    <w:link w:val="FooterChar"/>
    <w:uiPriority w:val="99"/>
    <w:unhideWhenUsed/>
    <w:rsid w:val="000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28"/>
  </w:style>
  <w:style w:type="table" w:styleId="TableGrid">
    <w:name w:val="Table Grid"/>
    <w:basedOn w:val="TableNormal"/>
    <w:uiPriority w:val="39"/>
    <w:rsid w:val="000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42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4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infectioncontrol/pdf/Podiatry-Guide_5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Silvercrest Nursing and Rehabilitation 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Arlette Drigpaul</cp:lastModifiedBy>
  <cp:revision>13</cp:revision>
  <dcterms:created xsi:type="dcterms:W3CDTF">2022-09-08T01:36:00Z</dcterms:created>
  <dcterms:modified xsi:type="dcterms:W3CDTF">2022-09-08T02:30:00Z</dcterms:modified>
</cp:coreProperties>
</file>