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A6EF" w14:textId="77777777" w:rsidR="00840E64" w:rsidRDefault="00840E64" w:rsidP="00840E64">
      <w:pPr>
        <w:pStyle w:val="Subtitle"/>
        <w:rPr>
          <w:iCs/>
          <w:szCs w:val="24"/>
          <w:u w:val="none"/>
        </w:rPr>
      </w:pPr>
      <w:r>
        <w:rPr>
          <w:iCs/>
          <w:szCs w:val="24"/>
          <w:u w:val="none"/>
        </w:rPr>
        <w:t>POLICY and PROCEDURE</w:t>
      </w:r>
    </w:p>
    <w:p w14:paraId="5E710C25" w14:textId="77777777" w:rsidR="00840E64" w:rsidRDefault="00840E64" w:rsidP="00840E64">
      <w:pPr>
        <w:pStyle w:val="Header"/>
        <w:tabs>
          <w:tab w:val="left" w:pos="720"/>
        </w:tabs>
      </w:pPr>
    </w:p>
    <w:tbl>
      <w:tblPr>
        <w:tblW w:w="106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2688"/>
        <w:gridCol w:w="3528"/>
      </w:tblGrid>
      <w:tr w:rsidR="00840E64" w14:paraId="248CC588" w14:textId="77777777" w:rsidTr="001A4840">
        <w:trPr>
          <w:gridBefore w:val="2"/>
          <w:wBefore w:w="7110" w:type="dxa"/>
        </w:trPr>
        <w:tc>
          <w:tcPr>
            <w:tcW w:w="352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1EBC1E2" w14:textId="77777777" w:rsidR="00840E64" w:rsidRDefault="00840E64" w:rsidP="001A4840">
            <w:pPr>
              <w:pStyle w:val="Header"/>
              <w:tabs>
                <w:tab w:val="left" w:pos="720"/>
              </w:tabs>
              <w:rPr>
                <w:i/>
                <w:sz w:val="22"/>
              </w:rPr>
            </w:pPr>
          </w:p>
          <w:p w14:paraId="3C79B7CB" w14:textId="77777777" w:rsidR="00840E64" w:rsidRPr="002F399E" w:rsidRDefault="00840E64" w:rsidP="001A4840">
            <w:pPr>
              <w:pStyle w:val="Header"/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i/>
                <w:iCs/>
                <w:sz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</w:rPr>
              <w:t>Page No.:</w:t>
            </w:r>
            <w:r>
              <w:rPr>
                <w:rFonts w:ascii="Garamond" w:hAnsi="Garamond"/>
                <w:b/>
                <w:bCs/>
                <w:i/>
                <w:iCs/>
                <w:sz w:val="22"/>
              </w:rPr>
              <w:t xml:space="preserve">  1 of </w:t>
            </w:r>
            <w:r>
              <w:rPr>
                <w:rFonts w:ascii="Garamond" w:hAnsi="Garamond"/>
                <w:b/>
                <w:bCs/>
                <w:i/>
                <w:iCs/>
                <w:sz w:val="22"/>
                <w:lang w:val="en-US"/>
              </w:rPr>
              <w:t>2</w:t>
            </w:r>
          </w:p>
        </w:tc>
      </w:tr>
      <w:tr w:rsidR="00840E64" w14:paraId="20B0DBEA" w14:textId="77777777" w:rsidTr="001A4840">
        <w:tc>
          <w:tcPr>
            <w:tcW w:w="1063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782C3A1" w14:textId="77777777" w:rsidR="00840E64" w:rsidRDefault="00840E64" w:rsidP="001A4840">
            <w:pPr>
              <w:pStyle w:val="Header"/>
              <w:tabs>
                <w:tab w:val="left" w:pos="720"/>
              </w:tabs>
              <w:rPr>
                <w:rFonts w:ascii="Garamond" w:hAnsi="Garamond"/>
                <w:b/>
                <w:bCs/>
                <w:i/>
                <w:iCs/>
              </w:rPr>
            </w:pPr>
          </w:p>
          <w:p w14:paraId="7E97CD6D" w14:textId="4A257ECA" w:rsidR="00840E64" w:rsidRDefault="00840E64" w:rsidP="001A4840">
            <w:pPr>
              <w:rPr>
                <w:rFonts w:ascii="Garamond" w:hAnsi="Garamond"/>
                <w:b/>
                <w:bCs/>
                <w:i/>
                <w:iCs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>Title:</w:t>
            </w:r>
            <w:r>
              <w:rPr>
                <w:rFonts w:ascii="Garamond" w:hAnsi="Garamond" w:cs="Arial"/>
                <w:i/>
              </w:rPr>
              <w:t xml:space="preserve"> </w:t>
            </w:r>
            <w:r>
              <w:rPr>
                <w:rFonts w:ascii="Garamond" w:hAnsi="Garamond" w:cs="Arial"/>
                <w:b/>
                <w:i/>
              </w:rPr>
              <w:t>Training Guidelines for Staff</w:t>
            </w:r>
          </w:p>
        </w:tc>
      </w:tr>
      <w:tr w:rsidR="00840E64" w14:paraId="47E014DF" w14:textId="77777777" w:rsidTr="001A4840">
        <w:tc>
          <w:tcPr>
            <w:tcW w:w="1063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BF169AA" w14:textId="77777777" w:rsidR="00840E64" w:rsidRDefault="00840E64" w:rsidP="001A4840">
            <w:pPr>
              <w:pStyle w:val="Header"/>
              <w:tabs>
                <w:tab w:val="left" w:pos="720"/>
              </w:tabs>
              <w:rPr>
                <w:rFonts w:ascii="Garamond" w:hAnsi="Garamond"/>
                <w:b/>
                <w:bCs/>
                <w:i/>
                <w:iCs/>
              </w:rPr>
            </w:pPr>
          </w:p>
          <w:p w14:paraId="376F6770" w14:textId="77777777" w:rsidR="00840E64" w:rsidRDefault="00840E64" w:rsidP="001A4840">
            <w:pPr>
              <w:pStyle w:val="Header"/>
              <w:tabs>
                <w:tab w:val="left" w:pos="720"/>
              </w:tabs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>Issued By:  Corporate</w:t>
            </w:r>
          </w:p>
        </w:tc>
      </w:tr>
      <w:tr w:rsidR="00840E64" w14:paraId="7812E9C4" w14:textId="77777777" w:rsidTr="001A4840">
        <w:tc>
          <w:tcPr>
            <w:tcW w:w="44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A8D790A" w14:textId="77777777" w:rsidR="00840E64" w:rsidRDefault="00840E64" w:rsidP="001A4840">
            <w:pPr>
              <w:pStyle w:val="Header"/>
              <w:tabs>
                <w:tab w:val="left" w:pos="720"/>
              </w:tabs>
              <w:rPr>
                <w:rFonts w:ascii="Garamond" w:hAnsi="Garamond"/>
                <w:b/>
                <w:bCs/>
                <w:iCs/>
              </w:rPr>
            </w:pPr>
          </w:p>
          <w:p w14:paraId="20696028" w14:textId="1B7DF3FC" w:rsidR="00840E64" w:rsidRPr="00321645" w:rsidRDefault="00840E64" w:rsidP="001A4840">
            <w:pPr>
              <w:pStyle w:val="Header"/>
              <w:tabs>
                <w:tab w:val="left" w:pos="720"/>
              </w:tabs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 xml:space="preserve">Effective Date: </w:t>
            </w:r>
          </w:p>
        </w:tc>
        <w:tc>
          <w:tcPr>
            <w:tcW w:w="26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59AAB30" w14:textId="4A05D3E7" w:rsidR="00840E64" w:rsidRPr="00321645" w:rsidRDefault="00840E64" w:rsidP="001A4840">
            <w:pPr>
              <w:pStyle w:val="Header"/>
              <w:tabs>
                <w:tab w:val="left" w:pos="720"/>
              </w:tabs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 xml:space="preserve">Last Review Date:  </w:t>
            </w:r>
          </w:p>
        </w:tc>
        <w:tc>
          <w:tcPr>
            <w:tcW w:w="35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9A5FCF3" w14:textId="77777777" w:rsidR="00840E64" w:rsidRDefault="00840E64" w:rsidP="001A4840">
            <w:pPr>
              <w:pStyle w:val="Header"/>
              <w:tabs>
                <w:tab w:val="left" w:pos="720"/>
              </w:tabs>
              <w:rPr>
                <w:rFonts w:ascii="Garamond" w:hAnsi="Garamond"/>
                <w:b/>
                <w:bCs/>
                <w:i/>
                <w:iCs/>
              </w:rPr>
            </w:pPr>
          </w:p>
          <w:p w14:paraId="0FE5A5B6" w14:textId="77777777" w:rsidR="00840E64" w:rsidRDefault="00840E64" w:rsidP="001A4840">
            <w:pPr>
              <w:pStyle w:val="Header"/>
              <w:tabs>
                <w:tab w:val="left" w:pos="720"/>
              </w:tabs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>Supersedes:   All Previous</w:t>
            </w:r>
          </w:p>
        </w:tc>
      </w:tr>
      <w:tr w:rsidR="00840E64" w14:paraId="4CD5FE35" w14:textId="77777777" w:rsidTr="001A4840">
        <w:tc>
          <w:tcPr>
            <w:tcW w:w="1063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89EFC51" w14:textId="77777777" w:rsidR="00840E64" w:rsidRDefault="00840E64" w:rsidP="001A4840">
            <w:pPr>
              <w:pStyle w:val="Header"/>
              <w:tabs>
                <w:tab w:val="left" w:pos="720"/>
              </w:tabs>
              <w:rPr>
                <w:rFonts w:ascii="Garamond" w:hAnsi="Garamond"/>
                <w:i/>
                <w:iCs/>
              </w:rPr>
            </w:pPr>
          </w:p>
          <w:p w14:paraId="5642697F" w14:textId="2907A057" w:rsidR="00840E64" w:rsidRPr="008F08FE" w:rsidRDefault="00840E64" w:rsidP="001A4840">
            <w:pPr>
              <w:pStyle w:val="Header"/>
              <w:tabs>
                <w:tab w:val="left" w:pos="720"/>
              </w:tabs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 xml:space="preserve">Distribution: </w:t>
            </w:r>
            <w:r>
              <w:rPr>
                <w:rFonts w:ascii="Garamond" w:hAnsi="Garamond"/>
                <w:b/>
                <w:bCs/>
                <w:i/>
                <w:iCs/>
                <w:lang w:val="en-US"/>
              </w:rPr>
              <w:t>All Departments</w:t>
            </w:r>
          </w:p>
        </w:tc>
      </w:tr>
    </w:tbl>
    <w:p w14:paraId="617DA070" w14:textId="249F016C" w:rsidR="00C647B3" w:rsidRDefault="008F5FC3"/>
    <w:p w14:paraId="60670564" w14:textId="77777777" w:rsidR="00F15FDE" w:rsidRPr="008F5FC3" w:rsidRDefault="00DB65D8">
      <w:p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 xml:space="preserve">Policy: </w:t>
      </w:r>
    </w:p>
    <w:p w14:paraId="3FAB2ABC" w14:textId="69762A02" w:rsidR="00DB65D8" w:rsidRPr="008F5FC3" w:rsidRDefault="00DB65D8">
      <w:p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 xml:space="preserve">In alignment with public health law 483.95 ongoing education and </w:t>
      </w:r>
      <w:r w:rsidR="00F45844" w:rsidRPr="008F5FC3">
        <w:rPr>
          <w:rFonts w:asciiTheme="minorHAnsi" w:hAnsiTheme="minorHAnsi" w:cstheme="minorHAnsi"/>
        </w:rPr>
        <w:t>competency-based</w:t>
      </w:r>
      <w:r w:rsidRPr="008F5FC3">
        <w:rPr>
          <w:rFonts w:asciiTheme="minorHAnsi" w:hAnsiTheme="minorHAnsi" w:cstheme="minorHAnsi"/>
        </w:rPr>
        <w:t xml:space="preserve"> training will be a mandatory and routine part of the facility culture</w:t>
      </w:r>
      <w:r w:rsidR="00F15FDE" w:rsidRPr="008F5FC3">
        <w:rPr>
          <w:rFonts w:asciiTheme="minorHAnsi" w:hAnsiTheme="minorHAnsi" w:cstheme="minorHAnsi"/>
        </w:rPr>
        <w:t xml:space="preserve"> to maintain standard quality control and address any newly identified areas requiring staff education.</w:t>
      </w:r>
    </w:p>
    <w:p w14:paraId="03066195" w14:textId="358D6625" w:rsidR="00840E64" w:rsidRPr="008F5FC3" w:rsidRDefault="00840E64">
      <w:p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The facility will develop, implement</w:t>
      </w:r>
      <w:r w:rsidR="00DB65D8" w:rsidRPr="008F5FC3">
        <w:rPr>
          <w:rFonts w:asciiTheme="minorHAnsi" w:hAnsiTheme="minorHAnsi" w:cstheme="minorHAnsi"/>
        </w:rPr>
        <w:t>,</w:t>
      </w:r>
      <w:r w:rsidRPr="008F5FC3">
        <w:rPr>
          <w:rFonts w:asciiTheme="minorHAnsi" w:hAnsiTheme="minorHAnsi" w:cstheme="minorHAnsi"/>
        </w:rPr>
        <w:t xml:space="preserve"> and maintain effective training programs for all new and existing staff including contract workers and volunteers</w:t>
      </w:r>
      <w:r w:rsidR="00F45844" w:rsidRPr="008F5FC3">
        <w:rPr>
          <w:rFonts w:asciiTheme="minorHAnsi" w:hAnsiTheme="minorHAnsi" w:cstheme="minorHAnsi"/>
        </w:rPr>
        <w:t xml:space="preserve">. </w:t>
      </w:r>
      <w:r w:rsidRPr="008F5FC3">
        <w:rPr>
          <w:rFonts w:asciiTheme="minorHAnsi" w:hAnsiTheme="minorHAnsi" w:cstheme="minorHAnsi"/>
        </w:rPr>
        <w:t>The Training will address the specific needs of the resident population as outlined in the facility assessment</w:t>
      </w:r>
      <w:r w:rsidR="00F45844" w:rsidRPr="008F5FC3">
        <w:rPr>
          <w:rFonts w:asciiTheme="minorHAnsi" w:hAnsiTheme="minorHAnsi" w:cstheme="minorHAnsi"/>
        </w:rPr>
        <w:t xml:space="preserve">. </w:t>
      </w:r>
      <w:r w:rsidR="00DB65D8" w:rsidRPr="008F5FC3">
        <w:rPr>
          <w:rFonts w:asciiTheme="minorHAnsi" w:hAnsiTheme="minorHAnsi" w:cstheme="minorHAnsi"/>
        </w:rPr>
        <w:t>The Training will incorporate any Quality Improvement issues identified through the QAPI program and as recommended by the Quality Assurance Committee.</w:t>
      </w:r>
    </w:p>
    <w:p w14:paraId="52604237" w14:textId="51D922FA" w:rsidR="00DB65D8" w:rsidRPr="008F5FC3" w:rsidRDefault="00DB65D8">
      <w:pPr>
        <w:rPr>
          <w:rFonts w:asciiTheme="minorHAnsi" w:hAnsiTheme="minorHAnsi" w:cstheme="minorHAnsi"/>
        </w:rPr>
      </w:pPr>
    </w:p>
    <w:p w14:paraId="121FB959" w14:textId="78C92E6B" w:rsidR="00DB65D8" w:rsidRPr="008F5FC3" w:rsidRDefault="00DB65D8">
      <w:p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Procedure</w:t>
      </w:r>
      <w:r w:rsidR="00F15FDE" w:rsidRPr="008F5FC3">
        <w:rPr>
          <w:rFonts w:asciiTheme="minorHAnsi" w:hAnsiTheme="minorHAnsi" w:cstheme="minorHAnsi"/>
        </w:rPr>
        <w:t>:</w:t>
      </w:r>
    </w:p>
    <w:p w14:paraId="5906A586" w14:textId="1F01917F" w:rsidR="00F15FDE" w:rsidRPr="008F5FC3" w:rsidRDefault="00F15FDE" w:rsidP="00F15F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Specific areas of mandatory education have been identified for all existing employees on a yearly and as needed basis, as well as for all newly hired employees during orientation</w:t>
      </w:r>
      <w:r w:rsidR="00CB1F80" w:rsidRPr="008F5FC3">
        <w:rPr>
          <w:rFonts w:asciiTheme="minorHAnsi" w:hAnsiTheme="minorHAnsi" w:cstheme="minorHAnsi"/>
        </w:rPr>
        <w:t>.</w:t>
      </w:r>
      <w:r w:rsidRPr="008F5FC3">
        <w:rPr>
          <w:rFonts w:asciiTheme="minorHAnsi" w:hAnsiTheme="minorHAnsi" w:cstheme="minorHAnsi"/>
        </w:rPr>
        <w:t xml:space="preserve"> </w:t>
      </w:r>
      <w:r w:rsidR="00CB1F80" w:rsidRPr="008F5FC3">
        <w:rPr>
          <w:rFonts w:asciiTheme="minorHAnsi" w:hAnsiTheme="minorHAnsi" w:cstheme="minorHAnsi"/>
        </w:rPr>
        <w:t>T</w:t>
      </w:r>
      <w:r w:rsidRPr="008F5FC3">
        <w:rPr>
          <w:rFonts w:asciiTheme="minorHAnsi" w:hAnsiTheme="minorHAnsi" w:cstheme="minorHAnsi"/>
        </w:rPr>
        <w:t xml:space="preserve">hese areas include: </w:t>
      </w:r>
    </w:p>
    <w:p w14:paraId="02EE1B2F" w14:textId="7E2ED7FC" w:rsidR="00F15FDE" w:rsidRPr="008F5FC3" w:rsidRDefault="006518EE" w:rsidP="00F15F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Residents’</w:t>
      </w:r>
      <w:r w:rsidR="00F15FDE" w:rsidRPr="008F5FC3">
        <w:rPr>
          <w:rFonts w:asciiTheme="minorHAnsi" w:hAnsiTheme="minorHAnsi" w:cstheme="minorHAnsi"/>
        </w:rPr>
        <w:t xml:space="preserve"> </w:t>
      </w:r>
      <w:r w:rsidRPr="008F5FC3">
        <w:rPr>
          <w:rFonts w:asciiTheme="minorHAnsi" w:hAnsiTheme="minorHAnsi" w:cstheme="minorHAnsi"/>
        </w:rPr>
        <w:t>R</w:t>
      </w:r>
      <w:r w:rsidR="00F15FDE" w:rsidRPr="008F5FC3">
        <w:rPr>
          <w:rFonts w:asciiTheme="minorHAnsi" w:hAnsiTheme="minorHAnsi" w:cstheme="minorHAnsi"/>
        </w:rPr>
        <w:t>ights</w:t>
      </w:r>
    </w:p>
    <w:p w14:paraId="1A4B22F1" w14:textId="20455211" w:rsidR="00F15FDE" w:rsidRPr="008F5FC3" w:rsidRDefault="00F15FDE" w:rsidP="00F15F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Effective and Professional Communication</w:t>
      </w:r>
    </w:p>
    <w:p w14:paraId="35F44696" w14:textId="7F10C564" w:rsidR="00F15FDE" w:rsidRPr="008F5FC3" w:rsidRDefault="006518EE" w:rsidP="00F15F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The QAPI program and the process for Quality Improvement</w:t>
      </w:r>
    </w:p>
    <w:p w14:paraId="0C7FD9FC" w14:textId="6A39BEC2" w:rsidR="006518EE" w:rsidRPr="008F5FC3" w:rsidRDefault="006518EE" w:rsidP="00F15F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Infection Prevention and Control</w:t>
      </w:r>
    </w:p>
    <w:p w14:paraId="10BEE048" w14:textId="4171860A" w:rsidR="006518EE" w:rsidRPr="008F5FC3" w:rsidRDefault="006518EE" w:rsidP="00F15F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Fire Safety</w:t>
      </w:r>
    </w:p>
    <w:p w14:paraId="3B2FF916" w14:textId="64249C21" w:rsidR="006518EE" w:rsidRPr="008F5FC3" w:rsidRDefault="006518EE" w:rsidP="00F15F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Abuse Prohibition</w:t>
      </w:r>
    </w:p>
    <w:p w14:paraId="712C866C" w14:textId="65B25A32" w:rsidR="006518EE" w:rsidRPr="008F5FC3" w:rsidRDefault="006518EE" w:rsidP="00F15F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Emergency Preparedness</w:t>
      </w:r>
    </w:p>
    <w:p w14:paraId="063B2428" w14:textId="1106BE4A" w:rsidR="006518EE" w:rsidRPr="008F5FC3" w:rsidRDefault="006518EE" w:rsidP="00F15F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Cultural Diversity /Sexual Harassment Workplace violence</w:t>
      </w:r>
    </w:p>
    <w:p w14:paraId="4ABED84D" w14:textId="227D1374" w:rsidR="006518EE" w:rsidRPr="008F5FC3" w:rsidRDefault="006518EE" w:rsidP="008C30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Compliance</w:t>
      </w:r>
      <w:r w:rsidR="008C3021" w:rsidRPr="008F5FC3">
        <w:rPr>
          <w:rFonts w:asciiTheme="minorHAnsi" w:hAnsiTheme="minorHAnsi" w:cstheme="minorHAnsi"/>
        </w:rPr>
        <w:t xml:space="preserve"> and Ethics</w:t>
      </w:r>
    </w:p>
    <w:p w14:paraId="44C83235" w14:textId="6272E766" w:rsidR="006518EE" w:rsidRPr="008F5FC3" w:rsidRDefault="006518EE" w:rsidP="00F15FD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Accident Prevention/ Resident Supervision</w:t>
      </w:r>
    </w:p>
    <w:p w14:paraId="47DC601E" w14:textId="10A427AA" w:rsidR="00DB65D8" w:rsidRPr="008F5FC3" w:rsidRDefault="00CB1F80" w:rsidP="00CB1F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 xml:space="preserve">Behavioral Health Training to </w:t>
      </w:r>
      <w:r w:rsidR="00F45844" w:rsidRPr="008F5FC3">
        <w:rPr>
          <w:rFonts w:asciiTheme="minorHAnsi" w:hAnsiTheme="minorHAnsi" w:cstheme="minorHAnsi"/>
        </w:rPr>
        <w:t>include</w:t>
      </w:r>
      <w:r w:rsidRPr="008F5FC3">
        <w:rPr>
          <w:rFonts w:asciiTheme="minorHAnsi" w:hAnsiTheme="minorHAnsi" w:cstheme="minorHAnsi"/>
        </w:rPr>
        <w:t xml:space="preserve"> Substance use Disorders, Post Traumatic Stress Disorder, and/or history of trauma</w:t>
      </w:r>
    </w:p>
    <w:p w14:paraId="55058C24" w14:textId="61928283" w:rsidR="008C3021" w:rsidRPr="008F5FC3" w:rsidRDefault="00BC70DB" w:rsidP="008C30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 xml:space="preserve">The </w:t>
      </w:r>
      <w:r w:rsidR="00F45844" w:rsidRPr="008F5FC3">
        <w:rPr>
          <w:rFonts w:asciiTheme="minorHAnsi" w:hAnsiTheme="minorHAnsi" w:cstheme="minorHAnsi"/>
        </w:rPr>
        <w:t xml:space="preserve">Certified Nurse Aides </w:t>
      </w:r>
      <w:r w:rsidRPr="008F5FC3">
        <w:rPr>
          <w:rFonts w:asciiTheme="minorHAnsi" w:hAnsiTheme="minorHAnsi" w:cstheme="minorHAnsi"/>
        </w:rPr>
        <w:t>will be provided with specific training in accordance with Facility Assessment and identified areas for Quality Improvement</w:t>
      </w:r>
      <w:r w:rsidR="00F45844" w:rsidRPr="008F5FC3">
        <w:rPr>
          <w:rFonts w:asciiTheme="minorHAnsi" w:hAnsiTheme="minorHAnsi" w:cstheme="minorHAnsi"/>
        </w:rPr>
        <w:t xml:space="preserve">. </w:t>
      </w:r>
      <w:r w:rsidRPr="008F5FC3">
        <w:rPr>
          <w:rFonts w:asciiTheme="minorHAnsi" w:hAnsiTheme="minorHAnsi" w:cstheme="minorHAnsi"/>
        </w:rPr>
        <w:t xml:space="preserve">The Nursing Assistant </w:t>
      </w:r>
      <w:r w:rsidRPr="008F5FC3">
        <w:rPr>
          <w:rFonts w:asciiTheme="minorHAnsi" w:hAnsiTheme="minorHAnsi" w:cstheme="minorHAnsi"/>
        </w:rPr>
        <w:lastRenderedPageBreak/>
        <w:t>training will include competency-based performance for identified areas</w:t>
      </w:r>
      <w:r w:rsidR="00F45844" w:rsidRPr="008F5FC3">
        <w:rPr>
          <w:rFonts w:asciiTheme="minorHAnsi" w:hAnsiTheme="minorHAnsi" w:cstheme="minorHAnsi"/>
        </w:rPr>
        <w:t xml:space="preserve">. </w:t>
      </w:r>
      <w:r w:rsidRPr="008F5FC3">
        <w:rPr>
          <w:rFonts w:asciiTheme="minorHAnsi" w:hAnsiTheme="minorHAnsi" w:cstheme="minorHAnsi"/>
        </w:rPr>
        <w:t>(</w:t>
      </w:r>
      <w:r w:rsidRPr="008F5FC3">
        <w:rPr>
          <w:rFonts w:asciiTheme="minorHAnsi" w:hAnsiTheme="minorHAnsi" w:cstheme="minorHAnsi"/>
          <w:i/>
          <w:iCs/>
        </w:rPr>
        <w:t>Refer to Mandatory Training for Certified Nursing Assistants.)</w:t>
      </w:r>
    </w:p>
    <w:p w14:paraId="3D9618D8" w14:textId="0EBA9147" w:rsidR="00A8238B" w:rsidRPr="008F5FC3" w:rsidRDefault="00A8238B" w:rsidP="008C30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Licensed Nurses will receive training and competency-based performance for identified areas</w:t>
      </w:r>
      <w:r w:rsidR="00F45844" w:rsidRPr="008F5FC3">
        <w:rPr>
          <w:rFonts w:asciiTheme="minorHAnsi" w:hAnsiTheme="minorHAnsi" w:cstheme="minorHAnsi"/>
        </w:rPr>
        <w:t xml:space="preserve">. </w:t>
      </w:r>
      <w:r w:rsidRPr="008F5FC3">
        <w:rPr>
          <w:rFonts w:asciiTheme="minorHAnsi" w:hAnsiTheme="minorHAnsi" w:cstheme="minorHAnsi"/>
        </w:rPr>
        <w:t>(</w:t>
      </w:r>
      <w:r w:rsidRPr="008F5FC3">
        <w:rPr>
          <w:rFonts w:asciiTheme="minorHAnsi" w:hAnsiTheme="minorHAnsi" w:cstheme="minorHAnsi"/>
          <w:i/>
          <w:iCs/>
        </w:rPr>
        <w:t>Refer to Mandatory Training for Certified Nursing Assistants.)</w:t>
      </w:r>
    </w:p>
    <w:p w14:paraId="45CBD4C3" w14:textId="6F352D65" w:rsidR="00A8238B" w:rsidRPr="008F5FC3" w:rsidRDefault="00A8238B" w:rsidP="008C30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 xml:space="preserve">The facility will incorporate various methods in the training of staff to include </w:t>
      </w:r>
      <w:r w:rsidR="00F45844" w:rsidRPr="008F5FC3">
        <w:rPr>
          <w:rFonts w:asciiTheme="minorHAnsi" w:hAnsiTheme="minorHAnsi" w:cstheme="minorHAnsi"/>
        </w:rPr>
        <w:t>online</w:t>
      </w:r>
      <w:r w:rsidRPr="008F5FC3">
        <w:rPr>
          <w:rFonts w:asciiTheme="minorHAnsi" w:hAnsiTheme="minorHAnsi" w:cstheme="minorHAnsi"/>
        </w:rPr>
        <w:t xml:space="preserve"> courses, didactic classroom lecture, conferences, community available programs, and training modules.</w:t>
      </w:r>
    </w:p>
    <w:p w14:paraId="709027F4" w14:textId="77777777" w:rsidR="00922142" w:rsidRPr="008F5FC3" w:rsidRDefault="00A8238B" w:rsidP="008C30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 xml:space="preserve">The facility will acknowledge the native language </w:t>
      </w:r>
      <w:r w:rsidR="00922142" w:rsidRPr="008F5FC3">
        <w:rPr>
          <w:rFonts w:asciiTheme="minorHAnsi" w:hAnsiTheme="minorHAnsi" w:cstheme="minorHAnsi"/>
        </w:rPr>
        <w:t xml:space="preserve">of staff members and </w:t>
      </w:r>
      <w:r w:rsidRPr="008F5FC3">
        <w:rPr>
          <w:rFonts w:asciiTheme="minorHAnsi" w:hAnsiTheme="minorHAnsi" w:cstheme="minorHAnsi"/>
        </w:rPr>
        <w:t xml:space="preserve">attempt </w:t>
      </w:r>
      <w:r w:rsidR="00922142" w:rsidRPr="008F5FC3">
        <w:rPr>
          <w:rFonts w:asciiTheme="minorHAnsi" w:hAnsiTheme="minorHAnsi" w:cstheme="minorHAnsi"/>
        </w:rPr>
        <w:t xml:space="preserve">to accommodate training sessions as indicated. </w:t>
      </w:r>
    </w:p>
    <w:p w14:paraId="41281E9F" w14:textId="516837FD" w:rsidR="00A8238B" w:rsidRPr="008F5FC3" w:rsidRDefault="00922142" w:rsidP="008C30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Training and education will incorporate any new guidelines as directed by the NYS</w:t>
      </w:r>
      <w:r w:rsidR="00F45844" w:rsidRPr="008F5FC3">
        <w:rPr>
          <w:rFonts w:asciiTheme="minorHAnsi" w:hAnsiTheme="minorHAnsi" w:cstheme="minorHAnsi"/>
        </w:rPr>
        <w:t>D</w:t>
      </w:r>
      <w:r w:rsidRPr="008F5FC3">
        <w:rPr>
          <w:rFonts w:asciiTheme="minorHAnsi" w:hAnsiTheme="minorHAnsi" w:cstheme="minorHAnsi"/>
        </w:rPr>
        <w:t xml:space="preserve">OH </w:t>
      </w:r>
      <w:r w:rsidR="00F45844" w:rsidRPr="008F5FC3">
        <w:rPr>
          <w:rFonts w:asciiTheme="minorHAnsi" w:hAnsiTheme="minorHAnsi" w:cstheme="minorHAnsi"/>
        </w:rPr>
        <w:t xml:space="preserve">CMS, CDC and other pertinent evidenced training </w:t>
      </w:r>
      <w:r w:rsidRPr="008F5FC3">
        <w:rPr>
          <w:rFonts w:asciiTheme="minorHAnsi" w:hAnsiTheme="minorHAnsi" w:cstheme="minorHAnsi"/>
        </w:rPr>
        <w:t xml:space="preserve">will be incorporated into </w:t>
      </w:r>
      <w:r w:rsidR="00F45844" w:rsidRPr="008F5FC3">
        <w:rPr>
          <w:rFonts w:asciiTheme="minorHAnsi" w:hAnsiTheme="minorHAnsi" w:cstheme="minorHAnsi"/>
        </w:rPr>
        <w:t xml:space="preserve">the Facility </w:t>
      </w:r>
      <w:r w:rsidRPr="008F5FC3">
        <w:rPr>
          <w:rFonts w:asciiTheme="minorHAnsi" w:hAnsiTheme="minorHAnsi" w:cstheme="minorHAnsi"/>
        </w:rPr>
        <w:t xml:space="preserve">Training </w:t>
      </w:r>
      <w:r w:rsidR="00F45844" w:rsidRPr="008F5FC3">
        <w:rPr>
          <w:rFonts w:asciiTheme="minorHAnsi" w:hAnsiTheme="minorHAnsi" w:cstheme="minorHAnsi"/>
        </w:rPr>
        <w:t>Program as needed.</w:t>
      </w:r>
    </w:p>
    <w:p w14:paraId="38353F3A" w14:textId="0072E796" w:rsidR="0006161E" w:rsidRPr="008F5FC3" w:rsidRDefault="0006161E" w:rsidP="008C30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>The Quality Assurance committee with feedback form the QAPI Program will continue to review and recommend new Training for staff when indicated.</w:t>
      </w:r>
    </w:p>
    <w:p w14:paraId="6A2B74FA" w14:textId="33523A94" w:rsidR="009111BD" w:rsidRPr="008F5FC3" w:rsidRDefault="0006161E" w:rsidP="008C30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F5FC3">
        <w:rPr>
          <w:rFonts w:asciiTheme="minorHAnsi" w:hAnsiTheme="minorHAnsi" w:cstheme="minorHAnsi"/>
        </w:rPr>
        <w:t xml:space="preserve">The Staff Training will be reviewed </w:t>
      </w:r>
      <w:r w:rsidR="00F45844" w:rsidRPr="008F5FC3">
        <w:rPr>
          <w:rFonts w:asciiTheme="minorHAnsi" w:hAnsiTheme="minorHAnsi" w:cstheme="minorHAnsi"/>
        </w:rPr>
        <w:t>in accordance with the F</w:t>
      </w:r>
      <w:r w:rsidRPr="008F5FC3">
        <w:rPr>
          <w:rFonts w:asciiTheme="minorHAnsi" w:hAnsiTheme="minorHAnsi" w:cstheme="minorHAnsi"/>
        </w:rPr>
        <w:t xml:space="preserve">acility </w:t>
      </w:r>
      <w:r w:rsidR="00F45844" w:rsidRPr="008F5FC3">
        <w:rPr>
          <w:rFonts w:asciiTheme="minorHAnsi" w:hAnsiTheme="minorHAnsi" w:cstheme="minorHAnsi"/>
        </w:rPr>
        <w:t>A</w:t>
      </w:r>
      <w:r w:rsidRPr="008F5FC3">
        <w:rPr>
          <w:rFonts w:asciiTheme="minorHAnsi" w:hAnsiTheme="minorHAnsi" w:cstheme="minorHAnsi"/>
        </w:rPr>
        <w:t xml:space="preserve">ssessment </w:t>
      </w:r>
      <w:r w:rsidR="00F45844" w:rsidRPr="008F5FC3">
        <w:rPr>
          <w:rFonts w:asciiTheme="minorHAnsi" w:hAnsiTheme="minorHAnsi" w:cstheme="minorHAnsi"/>
        </w:rPr>
        <w:t xml:space="preserve">and QAPI activities </w:t>
      </w:r>
      <w:r w:rsidRPr="008F5FC3">
        <w:rPr>
          <w:rFonts w:asciiTheme="minorHAnsi" w:hAnsiTheme="minorHAnsi" w:cstheme="minorHAnsi"/>
        </w:rPr>
        <w:t xml:space="preserve">to ensure that all areas of </w:t>
      </w:r>
      <w:r w:rsidR="009111BD" w:rsidRPr="008F5FC3">
        <w:rPr>
          <w:rFonts w:asciiTheme="minorHAnsi" w:hAnsiTheme="minorHAnsi" w:cstheme="minorHAnsi"/>
        </w:rPr>
        <w:t>resident</w:t>
      </w:r>
      <w:r w:rsidRPr="008F5FC3">
        <w:rPr>
          <w:rFonts w:asciiTheme="minorHAnsi" w:hAnsiTheme="minorHAnsi" w:cstheme="minorHAnsi"/>
        </w:rPr>
        <w:t xml:space="preserve"> care and needs are addressed with any changes in </w:t>
      </w:r>
      <w:r w:rsidR="009111BD" w:rsidRPr="008F5FC3">
        <w:rPr>
          <w:rFonts w:asciiTheme="minorHAnsi" w:hAnsiTheme="minorHAnsi" w:cstheme="minorHAnsi"/>
        </w:rPr>
        <w:t>resident</w:t>
      </w:r>
      <w:r w:rsidRPr="008F5FC3">
        <w:rPr>
          <w:rFonts w:asciiTheme="minorHAnsi" w:hAnsiTheme="minorHAnsi" w:cstheme="minorHAnsi"/>
        </w:rPr>
        <w:t xml:space="preserve"> </w:t>
      </w:r>
      <w:r w:rsidR="009111BD" w:rsidRPr="008F5FC3">
        <w:rPr>
          <w:rFonts w:asciiTheme="minorHAnsi" w:hAnsiTheme="minorHAnsi" w:cstheme="minorHAnsi"/>
        </w:rPr>
        <w:t xml:space="preserve">population. </w:t>
      </w:r>
    </w:p>
    <w:p w14:paraId="7102459C" w14:textId="386976E6" w:rsidR="00BC70DB" w:rsidRPr="008F5FC3" w:rsidRDefault="00BC70DB" w:rsidP="00BC70DB">
      <w:pPr>
        <w:rPr>
          <w:rFonts w:asciiTheme="minorHAnsi" w:hAnsiTheme="minorHAnsi" w:cstheme="minorHAnsi"/>
        </w:rPr>
      </w:pPr>
    </w:p>
    <w:p w14:paraId="41031518" w14:textId="2E4D14C2" w:rsidR="00BC70DB" w:rsidRPr="008F5FC3" w:rsidRDefault="00BC70DB" w:rsidP="00BC70DB">
      <w:pPr>
        <w:rPr>
          <w:rFonts w:asciiTheme="minorHAnsi" w:hAnsiTheme="minorHAnsi" w:cstheme="minorHAnsi"/>
        </w:rPr>
      </w:pPr>
    </w:p>
    <w:p w14:paraId="5E22248D" w14:textId="5EE11966" w:rsidR="00BC70DB" w:rsidRPr="008F5FC3" w:rsidRDefault="00BC70DB" w:rsidP="00BC70DB">
      <w:pPr>
        <w:rPr>
          <w:rFonts w:asciiTheme="minorHAnsi" w:hAnsiTheme="minorHAnsi" w:cstheme="minorHAnsi"/>
        </w:rPr>
      </w:pPr>
    </w:p>
    <w:p w14:paraId="3D1001BE" w14:textId="77777777" w:rsidR="00BC70DB" w:rsidRPr="008F5FC3" w:rsidRDefault="00BC70DB" w:rsidP="00BC70DB">
      <w:pPr>
        <w:rPr>
          <w:rFonts w:asciiTheme="minorHAnsi" w:hAnsiTheme="minorHAnsi" w:cstheme="minorHAnsi"/>
        </w:rPr>
      </w:pPr>
    </w:p>
    <w:sectPr w:rsidR="00BC70DB" w:rsidRPr="008F5F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D1A4" w14:textId="77777777" w:rsidR="00962688" w:rsidRDefault="00962688" w:rsidP="008C3021">
      <w:r>
        <w:separator/>
      </w:r>
    </w:p>
  </w:endnote>
  <w:endnote w:type="continuationSeparator" w:id="0">
    <w:p w14:paraId="6BFE9F38" w14:textId="77777777" w:rsidR="00962688" w:rsidRDefault="00962688" w:rsidP="008C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0604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068A0C" w14:textId="07843DB4" w:rsidR="008C3021" w:rsidRDefault="008C302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F25110" w14:textId="77777777" w:rsidR="008C3021" w:rsidRDefault="008C3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FC18" w14:textId="77777777" w:rsidR="00962688" w:rsidRDefault="00962688" w:rsidP="008C3021">
      <w:r>
        <w:separator/>
      </w:r>
    </w:p>
  </w:footnote>
  <w:footnote w:type="continuationSeparator" w:id="0">
    <w:p w14:paraId="719BDFEE" w14:textId="77777777" w:rsidR="00962688" w:rsidRDefault="00962688" w:rsidP="008C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F72A" w14:textId="2CD53CD8" w:rsidR="008F5FC3" w:rsidRDefault="008F5FC3">
    <w:pPr>
      <w:pStyle w:val="Header"/>
    </w:pPr>
    <w:r>
      <w:rPr>
        <w:noProof/>
      </w:rPr>
      <w:drawing>
        <wp:inline distT="0" distB="0" distL="0" distR="0" wp14:anchorId="0B8C0775" wp14:editId="2F37CF5C">
          <wp:extent cx="5943600" cy="723900"/>
          <wp:effectExtent l="0" t="0" r="0" b="0"/>
          <wp:docPr id="1" name="Picture 1" descr="https://gnyhcfa.org/wp-content/uploads/2016/08/gnyhcf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gnyhcfa.org/wp-content/uploads/2016/08/gnyhcfa-logo-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BF5"/>
    <w:multiLevelType w:val="hybridMultilevel"/>
    <w:tmpl w:val="5F30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4443"/>
    <w:multiLevelType w:val="hybridMultilevel"/>
    <w:tmpl w:val="71600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2746520">
    <w:abstractNumId w:val="0"/>
  </w:num>
  <w:num w:numId="2" w16cid:durableId="901870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64"/>
    <w:rsid w:val="0006161E"/>
    <w:rsid w:val="006518EE"/>
    <w:rsid w:val="00840E64"/>
    <w:rsid w:val="008C3021"/>
    <w:rsid w:val="008F5FC3"/>
    <w:rsid w:val="009111BD"/>
    <w:rsid w:val="00922142"/>
    <w:rsid w:val="00962688"/>
    <w:rsid w:val="00A8238B"/>
    <w:rsid w:val="00BB4E19"/>
    <w:rsid w:val="00BC70DB"/>
    <w:rsid w:val="00C1043C"/>
    <w:rsid w:val="00CB1F80"/>
    <w:rsid w:val="00CB5012"/>
    <w:rsid w:val="00DB65D8"/>
    <w:rsid w:val="00F15FDE"/>
    <w:rsid w:val="00F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762A"/>
  <w15:chartTrackingRefBased/>
  <w15:docId w15:val="{B3B2B9BE-BA07-4FF1-9A33-32A7D26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E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40E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840E64"/>
    <w:pPr>
      <w:jc w:val="center"/>
    </w:pPr>
    <w:rPr>
      <w:rFonts w:ascii="Garamond" w:hAnsi="Garamond"/>
      <w:b/>
      <w:b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40E64"/>
    <w:rPr>
      <w:rFonts w:ascii="Garamond" w:eastAsia="Times New Roman" w:hAnsi="Garamond" w:cs="Times New Roman"/>
      <w:b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15FDE"/>
    <w:pPr>
      <w:ind w:left="720"/>
      <w:contextualSpacing/>
    </w:pPr>
  </w:style>
  <w:style w:type="table" w:styleId="TableGrid">
    <w:name w:val="Table Grid"/>
    <w:basedOn w:val="TableNormal"/>
    <w:uiPriority w:val="59"/>
    <w:rsid w:val="0065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8E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3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0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McGill</dc:creator>
  <cp:keywords/>
  <dc:description/>
  <cp:lastModifiedBy>Laura Brick</cp:lastModifiedBy>
  <cp:revision>2</cp:revision>
  <dcterms:created xsi:type="dcterms:W3CDTF">2022-09-15T18:17:00Z</dcterms:created>
  <dcterms:modified xsi:type="dcterms:W3CDTF">2022-09-15T18:17:00Z</dcterms:modified>
</cp:coreProperties>
</file>